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67"/>
        <w:gridCol w:w="222"/>
        <w:gridCol w:w="1924"/>
        <w:gridCol w:w="325"/>
        <w:gridCol w:w="325"/>
        <w:gridCol w:w="3150"/>
        <w:gridCol w:w="945"/>
        <w:gridCol w:w="275"/>
      </w:tblGrid>
      <w:tr w:rsidR="00834BF9" w:rsidRPr="00E308B8" w14:paraId="4DB6DA48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2FFD1D6E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1C5EC2A1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A5D60C5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6B564DF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68F8F17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31533C4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13BC9B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50086BB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AE0E3B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08C71A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17864C29" w14:textId="77777777" w:rsidTr="00581156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6F08728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6D3A2D39" wp14:editId="6BE5E44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6D7392AB" wp14:editId="05CE9559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  <w:vAlign w:val="center"/>
                </w:tcPr>
                <w:p w14:paraId="3A9CFB4D" w14:textId="77777777" w:rsidR="00897B8A" w:rsidRPr="00AA71CD" w:rsidRDefault="005743D6" w:rsidP="005811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743D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ISS.1</w:t>
                  </w:r>
                  <w:r w:rsidR="0058115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33617A29" w14:textId="77777777" w:rsidR="00581156" w:rsidRPr="00581156" w:rsidRDefault="00581156" w:rsidP="005811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8115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Мониторинг информационной</w:t>
                  </w:r>
                </w:p>
                <w:p w14:paraId="3D9851C8" w14:textId="77777777" w:rsidR="00897B8A" w:rsidRPr="00AA71CD" w:rsidRDefault="00581156" w:rsidP="005811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58115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безопасности средств и систем информатизации</w:t>
                  </w:r>
                </w:p>
              </w:tc>
            </w:tr>
          </w:tbl>
          <w:p w14:paraId="162486F5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A121D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475A35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9BD6DB0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1A2CC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964BBFA" w14:textId="0746BC83" w:rsidR="00490436" w:rsidRPr="000B02E6" w:rsidRDefault="00581156" w:rsidP="007401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Лицензируемый ФСТЭК</w:t>
            </w:r>
            <w:r w:rsidRPr="005D0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России вид деятельности.</w:t>
            </w:r>
            <w:r w:rsidR="00740138" w:rsidRPr="00A1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420">
              <w:rPr>
                <w:rFonts w:ascii="Times New Roman" w:hAnsi="Times New Roman"/>
                <w:sz w:val="24"/>
                <w:szCs w:val="24"/>
              </w:rPr>
              <w:t>В рамках предоставления услуги обеспечивается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комплекс работ по поддержке функционирования системы мониторинга событий информационной безопасности (ИБ) Заказчика</w:t>
            </w:r>
            <w:r w:rsidRPr="00B761F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Система</w:t>
            </w:r>
            <w:r w:rsidRPr="00B761F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1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сбор и анализ</w:t>
            </w:r>
            <w:r w:rsidRPr="00A1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событий ИБ с ИТ-инфраструктуры Заказчика, выявление инцидентов ИБ, реагирование на инциденты ИБ, 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казание методической помощи и </w:t>
            </w:r>
            <w:r w:rsidRPr="004A76AD"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уполномоченных специалистов Заказчика по части устранения последствий инцидентов ИБ, а также, предотвращения аналогичных инцидентов ИБ в будущем.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8C4EF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254E5161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325AF4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17C16B45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23CE5F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02DE6FDC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894AF69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0B1A1954" w14:textId="77777777" w:rsidR="00546371" w:rsidRPr="00581156" w:rsidRDefault="00546371" w:rsidP="0058115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34A5840" w14:textId="77777777" w:rsidR="006D2E84" w:rsidRPr="000B02E6" w:rsidRDefault="005A496A" w:rsidP="00581156">
            <w:pPr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6285395" w14:textId="77777777" w:rsidR="005A496A" w:rsidRPr="000B02E6" w:rsidRDefault="005A496A" w:rsidP="00581156">
            <w:pPr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641B6E25" w14:textId="77777777" w:rsidR="005A496A" w:rsidRPr="000B02E6" w:rsidRDefault="005A496A" w:rsidP="00581156">
            <w:pPr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0B5D6B52" w14:textId="77777777" w:rsidR="006D2E84" w:rsidRPr="000B02E6" w:rsidRDefault="005A496A" w:rsidP="00581156">
            <w:pPr>
              <w:numPr>
                <w:ilvl w:val="0"/>
                <w:numId w:val="36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19EACF2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6019E501" w14:textId="77777777" w:rsidR="00581156" w:rsidRPr="00581156" w:rsidRDefault="005A496A" w:rsidP="0058115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5743D6">
              <w:rPr>
                <w:rFonts w:ascii="Times New Roman" w:hAnsi="Times New Roman"/>
                <w:bCs/>
              </w:rPr>
              <w:t>Другой способ</w:t>
            </w:r>
            <w:r w:rsidR="005743D6">
              <w:rPr>
                <w:rFonts w:ascii="Times New Roman" w:hAnsi="Times New Roman"/>
                <w:bCs/>
              </w:rPr>
              <w:t xml:space="preserve">: </w:t>
            </w:r>
            <w:r w:rsidRPr="005743D6">
              <w:rPr>
                <w:rFonts w:ascii="Times New Roman" w:hAnsi="Times New Roman"/>
                <w:bCs/>
              </w:rPr>
              <w:t xml:space="preserve"> </w:t>
            </w:r>
          </w:p>
          <w:p w14:paraId="5C734F66" w14:textId="77777777" w:rsidR="00581156" w:rsidRPr="006D6957" w:rsidRDefault="00581156" w:rsidP="00581156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портал самообслуживания</w:t>
            </w:r>
            <w:r w:rsidRPr="006D69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14" w:history="1">
              <w:r w:rsidRPr="00BF27D0">
                <w:rPr>
                  <w:rStyle w:val="affa"/>
                  <w:rFonts w:ascii="Times New Roman" w:hAnsi="Times New Roman"/>
                  <w:bCs/>
                  <w:sz w:val="24"/>
                  <w:szCs w:val="24"/>
                  <w:lang w:val="en-US"/>
                </w:rPr>
                <w:t>https</w:t>
              </w:r>
              <w:r w:rsidRPr="00BF27D0">
                <w:rPr>
                  <w:rStyle w:val="affa"/>
                  <w:rFonts w:ascii="Times New Roman" w:hAnsi="Times New Roman"/>
                  <w:bCs/>
                  <w:sz w:val="24"/>
                  <w:szCs w:val="24"/>
                </w:rPr>
                <w:t>://support.rosatom.ru/sm/index.do</w:t>
              </w:r>
            </w:hyperlink>
            <w:r w:rsidRPr="00AD771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или по телефону контактного центра АО «Гринатом» </w:t>
            </w:r>
            <w:r w:rsidRPr="00581156">
              <w:rPr>
                <w:rFonts w:ascii="Times New Roman" w:hAnsi="Times New Roman"/>
                <w:bCs/>
                <w:sz w:val="24"/>
                <w:szCs w:val="24"/>
              </w:rPr>
              <w:t>+7(499)949-29-99</w:t>
            </w:r>
          </w:p>
          <w:p w14:paraId="4EB9D572" w14:textId="77777777" w:rsidR="00581156" w:rsidRPr="00945FB9" w:rsidRDefault="00581156" w:rsidP="00581156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п/я 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</w:t>
            </w:r>
            <w:proofErr w:type="spellEnd"/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greenatom</w:t>
            </w:r>
            <w:proofErr w:type="spellEnd"/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4C45B1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если информация не содержит пометку ограниченного доступа</w:t>
            </w:r>
            <w:r w:rsidRPr="004C45B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4A3E44A4" w14:textId="77777777" w:rsidR="005A496A" w:rsidRPr="00581156" w:rsidRDefault="00581156" w:rsidP="00581156">
            <w:pPr>
              <w:numPr>
                <w:ilvl w:val="0"/>
                <w:numId w:val="27"/>
              </w:numPr>
              <w:spacing w:after="0" w:line="240" w:lineRule="auto"/>
              <w:ind w:left="318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 xml:space="preserve">п/я 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soc</w:t>
            </w:r>
            <w:proofErr w:type="spellEnd"/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@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rosatom</w:t>
            </w:r>
            <w:proofErr w:type="spellEnd"/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945FB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945FB9">
              <w:rPr>
                <w:rFonts w:ascii="Times New Roman" w:hAnsi="Times New Roman"/>
                <w:bCs/>
                <w:sz w:val="24"/>
                <w:szCs w:val="24"/>
              </w:rPr>
              <w:t xml:space="preserve"> по ЗКПС (если информация содержит пометку ограниченного доступа)</w:t>
            </w:r>
            <w:r w:rsidR="005A496A" w:rsidRPr="00581156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1DC1354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08C4CEF4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A7605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0CBB9493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33F91B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2A834C53" w14:textId="77777777" w:rsidTr="005743D6">
        <w:trPr>
          <w:trHeight w:val="47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441B1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CD020E4" w14:textId="77777777"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5E46D5">
              <w:rPr>
                <w:rFonts w:ascii="Times New Roman" w:hAnsi="Times New Roman"/>
                <w:color w:val="000000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8A950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078A71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13DF2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7657EB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BBB034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9AFA24F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AFB67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2F8A0A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388FF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FF8F53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E509A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48CFFEC" w14:textId="77777777" w:rsidTr="005743D6">
        <w:trPr>
          <w:trHeight w:val="3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F2805A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F32B36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81156" w:rsidRPr="00E1295B">
              <w:rPr>
                <w:rFonts w:ascii="Times New Roman" w:hAnsi="Times New Roman"/>
                <w:color w:val="000000"/>
                <w:sz w:val="24"/>
                <w:szCs w:val="24"/>
              </w:rPr>
              <w:t>Систем</w:t>
            </w:r>
            <w:r w:rsidR="0058115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81156" w:rsidRPr="00E129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718F41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3593BB9" w14:textId="77777777" w:rsidR="00490436" w:rsidRPr="000B02E6" w:rsidRDefault="0058115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E1295B">
              <w:rPr>
                <w:rFonts w:ascii="Times New Roman" w:hAnsi="Times New Roman"/>
                <w:sz w:val="24"/>
                <w:szCs w:val="24"/>
              </w:rPr>
              <w:t xml:space="preserve">Интеграция с системой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мониторинга доступности системы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54FD7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65C98B1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042C8F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D2489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DBA7D1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E664FA8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95A9BE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1B284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0E543A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661FE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86B108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BF0084E" w14:textId="77777777" w:rsidTr="005743D6">
        <w:trPr>
          <w:trHeight w:val="31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60AAB7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2618A8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230BB4F5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329EE1A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A01FC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0D54B73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7B919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98C63FC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Перечень 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работ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, оказываемых в рамках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9E47B2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0584371" w14:textId="77777777" w:rsidTr="005743D6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05C07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B4E53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7C9C52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29DF531" w14:textId="77777777" w:rsidR="00490436" w:rsidRPr="000B02E6" w:rsidRDefault="005743D6" w:rsidP="005743D6">
            <w:pPr>
              <w:spacing w:after="0" w:line="240" w:lineRule="auto"/>
              <w:rPr>
                <w:rFonts w:ascii="Times New Roman" w:hAnsi="Times New Roman"/>
              </w:rPr>
            </w:pPr>
            <w:r w:rsidRPr="00CE5B71">
              <w:rPr>
                <w:rFonts w:ascii="Times New Roman" w:hAnsi="Times New Roman"/>
                <w:sz w:val="24"/>
                <w:szCs w:val="24"/>
              </w:rPr>
              <w:t>Прием, обработка, регистрация и маршрутизация поступаю</w:t>
            </w:r>
            <w:r>
              <w:rPr>
                <w:rFonts w:ascii="Times New Roman" w:hAnsi="Times New Roman"/>
                <w:sz w:val="24"/>
                <w:szCs w:val="24"/>
              </w:rPr>
              <w:t>щих обращений от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0D401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46FC5BF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2033D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70A3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42350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9F80ED9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Обследование внутреннего периметра ИТ-инфраструктуры Заказчика:</w:t>
            </w:r>
          </w:p>
          <w:p w14:paraId="3C5E9078" w14:textId="77777777" w:rsidR="00581156" w:rsidRPr="00D02362" w:rsidRDefault="006655BB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сбор данных по активам Заказчика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</w:t>
            </w:r>
            <w:r w:rsidR="00581156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рекомендаций по составу и типу подключаемых источников событий ИБ.</w:t>
            </w:r>
          </w:p>
          <w:p w14:paraId="12D92C54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 функционирования Системы:</w:t>
            </w:r>
          </w:p>
          <w:p w14:paraId="30865919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конфигурирование / добавление / удаление компонентов Системы;</w:t>
            </w:r>
          </w:p>
          <w:p w14:paraId="2D14F1F8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/ замена доверенных сертификатов;</w:t>
            </w:r>
          </w:p>
          <w:p w14:paraId="1B175E46" w14:textId="21725CF7" w:rsidR="0055078B" w:rsidRPr="00D02362" w:rsidRDefault="0055078B" w:rsidP="0055078B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активация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лицензий 1 раз в год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793816D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пользователями и ролями доступа;</w:t>
            </w:r>
          </w:p>
          <w:p w14:paraId="10D8ED45" w14:textId="5A0C7B49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профилей и задач сбора событий ИБ;</w:t>
            </w:r>
          </w:p>
          <w:p w14:paraId="2BE284AD" w14:textId="404FAA55" w:rsidR="009356C7" w:rsidRPr="00D02362" w:rsidRDefault="009356C7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настройка системы хранения данных;</w:t>
            </w:r>
          </w:p>
          <w:p w14:paraId="6D132C28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состояния Системы;</w:t>
            </w:r>
          </w:p>
          <w:p w14:paraId="1391EE4C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настройка резервного копирования компонентов Системы;</w:t>
            </w:r>
          </w:p>
          <w:p w14:paraId="606FA583" w14:textId="4B4654BF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копирование компонентов Системы;</w:t>
            </w:r>
          </w:p>
          <w:p w14:paraId="642E035E" w14:textId="3A0776D4" w:rsidR="009356C7" w:rsidRPr="00D02362" w:rsidRDefault="009356C7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внеплановое резервное копирование Системы;</w:t>
            </w:r>
          </w:p>
          <w:p w14:paraId="362D6C81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работоспособности компонентов Системы;</w:t>
            </w:r>
          </w:p>
          <w:p w14:paraId="07A86982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базы правил, предоставленных разработчиком или интегратором Системы;</w:t>
            </w:r>
          </w:p>
          <w:p w14:paraId="62E44F21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Системы к отраслевому Корпоративному центру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ГосСОПКА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6BBC99F3" w14:textId="77777777" w:rsidR="001B4424" w:rsidRPr="00D02362" w:rsidRDefault="001B4424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Обновление Системы</w:t>
            </w:r>
            <w:r w:rsidR="00834BF9"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533E6B"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по </w:t>
            </w:r>
            <w:r w:rsidR="00834BF9"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ТР Заказчика</w:t>
            </w: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14:paraId="3D6AEDDF" w14:textId="77777777" w:rsidR="001B4424" w:rsidRPr="00D02362" w:rsidRDefault="00D35DB7" w:rsidP="00D35DB7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обновление системы </w:t>
            </w:r>
            <w:r w:rsidR="008A126D"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 сохранения данных</w:t>
            </w:r>
            <w:r w:rsidR="001B4424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обновление Системы с текущей версии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следующую версию согласно </w:t>
            </w:r>
            <w:proofErr w:type="gram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нумерации производителя</w:t>
            </w:r>
            <w:proofErr w:type="gram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без сохранения данных.</w:t>
            </w:r>
          </w:p>
          <w:p w14:paraId="4A3461BF" w14:textId="77777777" w:rsidR="001B4424" w:rsidRPr="00D02362" w:rsidRDefault="00D35DB7" w:rsidP="00D35DB7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обновление системы </w:t>
            </w:r>
            <w:r w:rsidR="008A126D" w:rsidRPr="00D02362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 сохранением данных</w:t>
            </w:r>
            <w:r w:rsidRPr="00D02362">
              <w:rPr>
                <w:rStyle w:val="af"/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footnoteReference w:id="1"/>
            </w:r>
            <w:r w:rsidR="008A126D"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обновление Системы с текущей версии на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следующую версию согласно нумерации производителя </w:t>
            </w:r>
            <w:r w:rsidR="008A126D"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 сохранением данных.</w:t>
            </w:r>
          </w:p>
          <w:p w14:paraId="5696BF24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Сбор, анализ событий ИБ и выявление инцидентов ИБ в Системе:</w:t>
            </w:r>
          </w:p>
          <w:p w14:paraId="702FB15A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подключение стандартных источников событий ИБ</w:t>
            </w:r>
            <w:r w:rsidRPr="00D02362">
              <w:rPr>
                <w:vertAlign w:val="superscript"/>
              </w:rPr>
              <w:footnoteReference w:id="2"/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0B3AB66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 корреляции событий ИБ на соответствие отраслевым требованиями по ИБ;</w:t>
            </w:r>
          </w:p>
          <w:p w14:paraId="37C362DD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правил нормализации для источников событий ИБ;</w:t>
            </w:r>
          </w:p>
          <w:p w14:paraId="5DB48709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ложных срабатываний и нерелевантных инцидентов ИБ;</w:t>
            </w:r>
          </w:p>
          <w:p w14:paraId="71AD3A6F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исключений для фильтрации ложных срабатываний и нерелевантных инцидентов ИБ;</w:t>
            </w:r>
          </w:p>
          <w:p w14:paraId="1DA7B02F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подтверждение классификации события ИБ как инцидент ИБ;</w:t>
            </w:r>
          </w:p>
          <w:p w14:paraId="451EB84A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инцидента ИБ в Системе;</w:t>
            </w:r>
          </w:p>
          <w:p w14:paraId="4690D815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присвоение уровня критичности инцидента ИБ. </w:t>
            </w:r>
          </w:p>
          <w:p w14:paraId="3DBE785E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Реагирование на инциденты ИБ, выявленные в Системе:</w:t>
            </w:r>
          </w:p>
          <w:p w14:paraId="4F1C86B7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оповещение Заказчика о возникновении инцидента ИБ;</w:t>
            </w:r>
          </w:p>
          <w:p w14:paraId="1468E8C9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информации, связанной с инцидентом ИБ и зафиксированной в Системе;</w:t>
            </w:r>
          </w:p>
          <w:p w14:paraId="17B71361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рекомендаций по локализации и ликвидации инцидентов ИБ; </w:t>
            </w:r>
          </w:p>
          <w:p w14:paraId="656F3818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получение информации от Заказчика о принятых мерах по локализации и ликвидации выявленного инцидента ИБ, о масштабах распространения и последствиях выявленного инцидента ИБ;</w:t>
            </w:r>
          </w:p>
          <w:p w14:paraId="76C7D1F9" w14:textId="77777777" w:rsidR="00581156" w:rsidRPr="00D02362" w:rsidRDefault="00581156" w:rsidP="00581156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предоставление сведений об инциденте ИБ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 отраслевой Корпоративный центр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ГосСОПКА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Госкорпорации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14:paraId="6ACF34D1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Подключение нестандартных источников событий ИБ</w:t>
            </w:r>
            <w:r w:rsidR="001B4424" w:rsidRPr="00D02362">
              <w:rPr>
                <w:rStyle w:val="af"/>
                <w:rFonts w:ascii="Times New Roman" w:hAnsi="Times New Roman"/>
                <w:b/>
                <w:color w:val="000000"/>
                <w:sz w:val="24"/>
                <w:szCs w:val="24"/>
              </w:rPr>
              <w:footnoteReference w:id="3"/>
            </w: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Систему.</w:t>
            </w:r>
          </w:p>
          <w:p w14:paraId="2A2A1D67" w14:textId="77777777" w:rsidR="00581156" w:rsidRPr="00D02362" w:rsidRDefault="00581156" w:rsidP="00581156">
            <w:pPr>
              <w:pStyle w:val="ad"/>
              <w:numPr>
                <w:ilvl w:val="2"/>
                <w:numId w:val="38"/>
              </w:numPr>
              <w:tabs>
                <w:tab w:val="left" w:pos="319"/>
              </w:tabs>
              <w:spacing w:before="60" w:after="0" w:line="240" w:lineRule="auto"/>
              <w:ind w:left="36" w:firstLine="0"/>
              <w:contextualSpacing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Предоставление отчётности по выявленным инцидентам ИБ: </w:t>
            </w:r>
          </w:p>
          <w:p w14:paraId="2CB6CC6A" w14:textId="77777777" w:rsidR="007B7B12" w:rsidRPr="00D02362" w:rsidRDefault="007B7B12" w:rsidP="007B7B12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еженедельный отчёт по форме отраслевого Корпоративного центра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ГосСОПКА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Госкорпорации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запросу не чаще 1-го раза в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неделю);</w:t>
            </w:r>
          </w:p>
          <w:p w14:paraId="7BCCC9BC" w14:textId="77777777" w:rsidR="00490436" w:rsidRPr="00D02362" w:rsidRDefault="007B7B12" w:rsidP="007B7B12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ежемесячный отчёт по форме отраслевого Корпоративного центра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ГосСОПКА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Госкорпорации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</w:t>
            </w:r>
            <w:r w:rsidR="00581156"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по запросу не чаще 1-го раза в месяц</w:t>
            </w:r>
            <w:r w:rsidR="00851458"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);</w:t>
            </w:r>
          </w:p>
          <w:p w14:paraId="7A641938" w14:textId="77777777" w:rsidR="00851458" w:rsidRPr="00D02362" w:rsidRDefault="00851458" w:rsidP="00851458">
            <w:pPr>
              <w:pStyle w:val="ad"/>
              <w:numPr>
                <w:ilvl w:val="0"/>
                <w:numId w:val="37"/>
              </w:numPr>
              <w:tabs>
                <w:tab w:val="left" w:pos="1309"/>
              </w:tabs>
              <w:spacing w:before="60" w:after="60" w:line="240" w:lineRule="auto"/>
              <w:ind w:left="699" w:hanging="425"/>
              <w:jc w:val="both"/>
              <w:rPr>
                <w:rFonts w:ascii="Times New Roman" w:hAnsi="Times New Roman"/>
              </w:rPr>
            </w:pPr>
            <w:r w:rsidRPr="00D02362">
              <w:rPr>
                <w:rFonts w:ascii="Times New Roman" w:hAnsi="Times New Roman"/>
                <w:lang w:val="ru-RU"/>
              </w:rPr>
              <w:t xml:space="preserve">ежеквартальный отчет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 форме отраслевого Корпоративного центра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ГосСОПКА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Госкорпорации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 (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запросу не чаще 1-го раза в </w:t>
            </w:r>
            <w:r w:rsidRPr="00D0236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квартал).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D28772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81156" w:rsidRPr="000B02E6" w14:paraId="5F49BF69" w14:textId="77777777" w:rsidTr="00581156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F01FB3E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103E9B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C3EAC48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B64162E" w14:textId="77777777" w:rsidR="00581156" w:rsidRPr="00D02362" w:rsidRDefault="00581156" w:rsidP="00581156">
            <w:pPr>
              <w:spacing w:after="0" w:line="240" w:lineRule="auto"/>
            </w:pPr>
            <w:r w:rsidRPr="00D02362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9B3BC40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156" w:rsidRPr="000B02E6" w14:paraId="4A65DE2C" w14:textId="77777777" w:rsidTr="00581156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410905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03D18A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8A9B56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A7603FD" w14:textId="77777777" w:rsidR="00581156" w:rsidRPr="00D02362" w:rsidRDefault="00581156" w:rsidP="00581156">
            <w:pPr>
              <w:spacing w:after="0" w:line="240" w:lineRule="auto"/>
            </w:pPr>
            <w:r w:rsidRPr="00D02362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C83E144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156" w:rsidRPr="000B02E6" w14:paraId="43962377" w14:textId="77777777" w:rsidTr="0058115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090A1D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2D5C2FE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DA6568D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153359D" w14:textId="77777777" w:rsidR="00581156" w:rsidRPr="00D02362" w:rsidRDefault="00581156" w:rsidP="00581156">
            <w:pPr>
              <w:spacing w:after="0" w:line="240" w:lineRule="auto"/>
            </w:pPr>
            <w:r w:rsidRPr="00D02362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03CB26F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2E8F394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1DB6F9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A54A1CA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BCF833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81156" w:rsidRPr="000B02E6" w14:paraId="123A0FC5" w14:textId="77777777" w:rsidTr="00581156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DD52326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4B22CFD" w14:textId="77777777" w:rsidR="00581156" w:rsidRPr="000B02E6" w:rsidRDefault="00581156" w:rsidP="00581156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274CAFE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59C2706" w14:textId="77777777" w:rsidR="00581156" w:rsidRDefault="00581156" w:rsidP="00581156">
            <w:pPr>
              <w:spacing w:after="0"/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91E639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156" w:rsidRPr="000B02E6" w14:paraId="1CE91407" w14:textId="77777777" w:rsidTr="00581156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87BC418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1F1EAA28" w14:textId="77777777" w:rsidR="00581156" w:rsidRPr="000B02E6" w:rsidRDefault="00581156" w:rsidP="0058115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6728769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2C1C0E8" w14:textId="77777777" w:rsidR="00581156" w:rsidRDefault="00581156" w:rsidP="00581156">
            <w:pPr>
              <w:spacing w:after="0"/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E123E33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81156" w:rsidRPr="000B02E6" w14:paraId="7AE7B5C7" w14:textId="77777777" w:rsidTr="00581156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4B220CB" w14:textId="77777777" w:rsidR="00581156" w:rsidRPr="000B02E6" w:rsidRDefault="00581156" w:rsidP="0058115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30A0D3D4" w14:textId="77777777" w:rsidR="00581156" w:rsidRPr="000B02E6" w:rsidRDefault="00581156" w:rsidP="00581156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24EB3BD1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6F62858F" w14:textId="77777777" w:rsidR="00581156" w:rsidRDefault="00581156" w:rsidP="00581156">
            <w:pPr>
              <w:spacing w:after="0"/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31AAA77A" w14:textId="77777777" w:rsidR="00581156" w:rsidRPr="000B02E6" w:rsidRDefault="00581156" w:rsidP="00581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2DF8B394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63597EB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111D953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CB45E1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44A4F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79D54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10FF70D1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90E0EFB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6B618155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AB850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D1B2DCA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6B88CD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2404FD0C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297C69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3A9447A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FB4BEB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79BCF9E2" w14:textId="77777777" w:rsidTr="006655BB">
        <w:trPr>
          <w:trHeight w:val="1468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6C8049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38262EF" w14:textId="77777777" w:rsidR="00581156" w:rsidRDefault="00581156" w:rsidP="00581156">
            <w:pPr>
              <w:pStyle w:val="ad"/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 началом оказания услуги необходимо провести обследование внутреннего</w:t>
            </w:r>
            <w:r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id="4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периметра ИТ-инфраструктуры Заказчика</w:t>
            </w:r>
            <w:r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id="5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C49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Полный список технологических ограничений (лимитов)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определяется до заключения договора согласно предоставленной Заказчиком опросной карточки подключения услуги</w:t>
            </w:r>
            <w:r>
              <w:rPr>
                <w:rStyle w:val="af"/>
                <w:rFonts w:ascii="Times New Roman" w:hAnsi="Times New Roman"/>
                <w:color w:val="000000"/>
                <w:sz w:val="24"/>
                <w:szCs w:val="24"/>
              </w:rPr>
              <w:footnoteReference w:id="6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C1A52C0" w14:textId="77777777" w:rsidR="00581156" w:rsidRPr="003B2EE5" w:rsidRDefault="00581156" w:rsidP="00581156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0312">
              <w:rPr>
                <w:rFonts w:ascii="Times New Roman" w:hAnsi="Times New Roman"/>
                <w:color w:val="000000"/>
                <w:sz w:val="24"/>
                <w:szCs w:val="24"/>
              </w:rPr>
              <w:t>В услугу не входит:</w:t>
            </w:r>
            <w:r w:rsidRPr="003B2E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обследования внешнего периметра Заказчика, устранение обнаруженных уязвимостей, расследование инцидентов ИБ, ликвидация последствий инцидентов ИБ, восстановление инфраструктуры Заказчика.</w:t>
            </w:r>
          </w:p>
          <w:p w14:paraId="28E5671E" w14:textId="77777777" w:rsidR="00581156" w:rsidRPr="00372B30" w:rsidRDefault="00581156" w:rsidP="00581156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 не гарантирует соблюдение параметров качества оказания услуги, указанных в пункте 1.6, в случае: 1. Отсутствия действующей технической поддержки и лицензий на программное обеспечение, используемое в Системе; 2. Отсутствия сопроводительной документации (пояснительная записка, техническое решение и т.п.) на Систему; 3. В случае недоступности Системы.</w:t>
            </w:r>
          </w:p>
          <w:p w14:paraId="03B1BBCD" w14:textId="77777777" w:rsidR="00581156" w:rsidRPr="00372B30" w:rsidRDefault="00581156" w:rsidP="00581156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услуги невозможно при одновременном наличии административных привилегий в Системе у Заказчика и у Исполнителя. После передачи Системы на обслуживание 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Исполнителю исключаются все административные права, которые были у Заказчика. Данные права полностью передаются Исполнителю. </w:t>
            </w:r>
          </w:p>
          <w:p w14:paraId="547E490A" w14:textId="77777777" w:rsidR="00581156" w:rsidRPr="00372B30" w:rsidRDefault="00581156" w:rsidP="00581156">
            <w:pPr>
              <w:spacing w:after="0"/>
              <w:ind w:left="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Минимальный 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хранения данных об инцидентах ИБ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устанавливаются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нормативными актами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Российской Федерации, ФСБ России и ФСТЭК России 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>и в соответствие с имеющимися мощностями у Заказчика.</w:t>
            </w:r>
          </w:p>
          <w:p w14:paraId="0BC4ECDD" w14:textId="77777777" w:rsidR="00716185" w:rsidRPr="000B02E6" w:rsidRDefault="00581156" w:rsidP="00581156">
            <w:pPr>
              <w:spacing w:after="0" w:line="240" w:lineRule="auto"/>
              <w:rPr>
                <w:rFonts w:ascii="Times New Roman" w:hAnsi="Times New Roman"/>
              </w:rPr>
            </w:pP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предприятий и организаций, ранее обсуживающихся по услуге 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OPR</w:t>
            </w:r>
            <w:r w:rsidRPr="00372B30">
              <w:rPr>
                <w:rFonts w:ascii="Times New Roman" w:hAnsi="Times New Roman"/>
                <w:color w:val="000000"/>
                <w:sz w:val="24"/>
                <w:szCs w:val="24"/>
              </w:rPr>
              <w:t>.3 «Поддержка функционирования систем информационной безопасности», норматив в части мониторинга событий информационной безопасности (SIEM) осуществляется по услуге ISS.10. Предельное значение трудозатрат рассчитывается менеджером услуги индивидуально. Для оказания услуги в случае отсутствия Системы на мощностях Заказчика разворачивается лог-коллектор силами Исполнителя.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CBF80C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716185" w:rsidRPr="000B02E6" w14:paraId="173C2FB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1CB42E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DD22554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1EEF51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AFAB5D9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FF759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54E1FB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123291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ED0685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C1FCCA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CB89D8F" w14:textId="77777777" w:rsidTr="00C33441">
        <w:trPr>
          <w:trHeight w:val="912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F1F32D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AEEBA1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672AC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7E1D7C1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955B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бследовани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955B4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внутреннего периметра ИТ-инфраструктуры</w:t>
            </w:r>
            <w:r w:rsidRPr="00042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2E1F0CC9" w14:textId="77777777" w:rsidR="00581156" w:rsidRPr="00B0589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A1438">
              <w:rPr>
                <w:rFonts w:ascii="Times New Roman" w:hAnsi="Times New Roman"/>
                <w:color w:val="000000"/>
                <w:sz w:val="24"/>
                <w:szCs w:val="24"/>
              </w:rPr>
              <w:t>0,0030476</w:t>
            </w:r>
            <w:r w:rsidRPr="00B0589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14:paraId="783A56A7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7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измерения: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F4792">
              <w:rPr>
                <w:rFonts w:ascii="Times New Roman" w:hAnsi="Times New Roman"/>
                <w:color w:val="000000"/>
                <w:sz w:val="24"/>
                <w:szCs w:val="24"/>
              </w:rPr>
              <w:t>зел – АРМ, сервер, телекоммуникационное оборудование.</w:t>
            </w:r>
          </w:p>
          <w:p w14:paraId="711B4A7D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058722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16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функционирования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Системы:</w:t>
            </w:r>
          </w:p>
          <w:p w14:paraId="521E0894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0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постоянные работы: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0,031506016</w:t>
            </w:r>
          </w:p>
          <w:tbl>
            <w:tblPr>
              <w:tblStyle w:val="aa"/>
              <w:tblW w:w="6484" w:type="dxa"/>
              <w:tblLook w:val="04A0" w:firstRow="1" w:lastRow="0" w:firstColumn="1" w:lastColumn="0" w:noHBand="0" w:noVBand="1"/>
            </w:tblPr>
            <w:tblGrid>
              <w:gridCol w:w="2638"/>
              <w:gridCol w:w="2126"/>
              <w:gridCol w:w="1720"/>
            </w:tblGrid>
            <w:tr w:rsidR="00581156" w14:paraId="01CE9ACB" w14:textId="77777777" w:rsidTr="00581156">
              <w:tc>
                <w:tcPr>
                  <w:tcW w:w="2638" w:type="dxa"/>
                  <w:vAlign w:val="center"/>
                </w:tcPr>
                <w:p w14:paraId="653BFED0" w14:textId="77777777" w:rsidR="00581156" w:rsidRPr="00A4106C" w:rsidRDefault="00581156" w:rsidP="0058115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126" w:type="dxa"/>
                  <w:vAlign w:val="center"/>
                </w:tcPr>
                <w:p w14:paraId="49AB64BA" w14:textId="77777777" w:rsidR="00581156" w:rsidRPr="00A4106C" w:rsidRDefault="00581156" w:rsidP="0058115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Трудозатраты на ед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1720" w:type="dxa"/>
                  <w:vAlign w:val="center"/>
                </w:tcPr>
                <w:p w14:paraId="4F441461" w14:textId="77777777" w:rsidR="00581156" w:rsidRPr="00A4106C" w:rsidRDefault="00581156" w:rsidP="0058115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581156" w14:paraId="502C41CF" w14:textId="77777777" w:rsidTr="00581156">
              <w:trPr>
                <w:trHeight w:val="340"/>
              </w:trPr>
              <w:tc>
                <w:tcPr>
                  <w:tcW w:w="2638" w:type="dxa"/>
                  <w:vAlign w:val="center"/>
                </w:tcPr>
                <w:p w14:paraId="6E151125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мониторинг состояния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393FA983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0,017361111</w:t>
                  </w:r>
                </w:p>
              </w:tc>
              <w:tc>
                <w:tcPr>
                  <w:tcW w:w="1720" w:type="dxa"/>
                  <w:vAlign w:val="center"/>
                </w:tcPr>
                <w:p w14:paraId="5A56D4BD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581156" w14:paraId="270DBD70" w14:textId="77777777" w:rsidTr="00581156">
              <w:trPr>
                <w:trHeight w:val="340"/>
              </w:trPr>
              <w:tc>
                <w:tcPr>
                  <w:tcW w:w="2638" w:type="dxa"/>
                  <w:vAlign w:val="center"/>
                </w:tcPr>
                <w:p w14:paraId="4CE5724C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резервное копирование компонентов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5EAE1F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0,002240143</w:t>
                  </w:r>
                </w:p>
              </w:tc>
              <w:tc>
                <w:tcPr>
                  <w:tcW w:w="1720" w:type="dxa"/>
                  <w:vAlign w:val="center"/>
                </w:tcPr>
                <w:p w14:paraId="604A8CF0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581156" w14:paraId="7B14A038" w14:textId="77777777" w:rsidTr="00581156">
              <w:trPr>
                <w:trHeight w:val="340"/>
              </w:trPr>
              <w:tc>
                <w:tcPr>
                  <w:tcW w:w="2638" w:type="dxa"/>
                  <w:vAlign w:val="center"/>
                </w:tcPr>
                <w:p w14:paraId="55293AE4" w14:textId="77777777" w:rsidR="00581156" w:rsidRPr="00DA16E7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</w:t>
                  </w: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бновление базы правил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, предоставленных разработчиком или интегратором Системы</w:t>
                  </w:r>
                </w:p>
              </w:tc>
              <w:tc>
                <w:tcPr>
                  <w:tcW w:w="2126" w:type="dxa"/>
                  <w:vAlign w:val="center"/>
                </w:tcPr>
                <w:p w14:paraId="29C5286D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0,011904762</w:t>
                  </w:r>
                </w:p>
              </w:tc>
              <w:tc>
                <w:tcPr>
                  <w:tcW w:w="1720" w:type="dxa"/>
                  <w:vAlign w:val="center"/>
                </w:tcPr>
                <w:p w14:paraId="0BACB125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</w:tbl>
          <w:p w14:paraId="615384FE" w14:textId="77777777" w:rsidR="00581156" w:rsidRPr="00A4106C" w:rsidRDefault="00581156" w:rsidP="00581156">
            <w:pPr>
              <w:spacing w:before="240"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06C">
              <w:rPr>
                <w:rFonts w:ascii="Times New Roman" w:hAnsi="Times New Roman"/>
                <w:color w:val="000000"/>
                <w:sz w:val="24"/>
                <w:szCs w:val="24"/>
              </w:rPr>
              <w:t>-разовые работы:</w:t>
            </w:r>
          </w:p>
          <w:tbl>
            <w:tblPr>
              <w:tblStyle w:val="aa"/>
              <w:tblW w:w="6484" w:type="dxa"/>
              <w:tblLook w:val="04A0" w:firstRow="1" w:lastRow="0" w:firstColumn="1" w:lastColumn="0" w:noHBand="0" w:noVBand="1"/>
            </w:tblPr>
            <w:tblGrid>
              <w:gridCol w:w="2573"/>
              <w:gridCol w:w="2072"/>
              <w:gridCol w:w="1839"/>
            </w:tblGrid>
            <w:tr w:rsidR="00581156" w14:paraId="52693569" w14:textId="77777777" w:rsidTr="009356C7">
              <w:trPr>
                <w:trHeight w:val="170"/>
              </w:trPr>
              <w:tc>
                <w:tcPr>
                  <w:tcW w:w="2573" w:type="dxa"/>
                  <w:vAlign w:val="center"/>
                </w:tcPr>
                <w:p w14:paraId="5C21FFD4" w14:textId="77777777" w:rsidR="00581156" w:rsidRPr="00A4106C" w:rsidRDefault="00581156" w:rsidP="00581156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072" w:type="dxa"/>
                  <w:vAlign w:val="center"/>
                </w:tcPr>
                <w:p w14:paraId="1F605603" w14:textId="77777777" w:rsidR="00581156" w:rsidRPr="00A4106C" w:rsidRDefault="00581156" w:rsidP="0058115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Трудозатраты на ед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1839" w:type="dxa"/>
                  <w:vAlign w:val="center"/>
                </w:tcPr>
                <w:p w14:paraId="4DD07D71" w14:textId="77777777" w:rsidR="00581156" w:rsidRPr="00A4106C" w:rsidRDefault="00581156" w:rsidP="00581156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A4106C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581156" w14:paraId="0150502F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2932E36C" w14:textId="77777777" w:rsidR="00581156" w:rsidRPr="00E87043" w:rsidRDefault="00581156" w:rsidP="007B7B12">
                  <w:pPr>
                    <w:spacing w:after="0" w:line="240" w:lineRule="auto"/>
                    <w:ind w:hanging="21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704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конфигурирование / добавление / удаление компонентов Системы </w:t>
                  </w:r>
                </w:p>
              </w:tc>
              <w:tc>
                <w:tcPr>
                  <w:tcW w:w="2072" w:type="dxa"/>
                  <w:vAlign w:val="center"/>
                </w:tcPr>
                <w:p w14:paraId="204B7DC1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704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0,047619048</w:t>
                  </w:r>
                </w:p>
              </w:tc>
              <w:tc>
                <w:tcPr>
                  <w:tcW w:w="1839" w:type="dxa"/>
                  <w:vAlign w:val="center"/>
                </w:tcPr>
                <w:p w14:paraId="0B240E96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704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Компонент</w:t>
                  </w:r>
                </w:p>
              </w:tc>
            </w:tr>
            <w:tr w:rsidR="00581156" w14:paraId="7356DA7E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0120DDB1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</w:t>
                  </w: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становка /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замена доверенных сертификатов</w:t>
                  </w:r>
                </w:p>
              </w:tc>
              <w:tc>
                <w:tcPr>
                  <w:tcW w:w="2072" w:type="dxa"/>
                  <w:vAlign w:val="center"/>
                </w:tcPr>
                <w:p w14:paraId="64E56EC5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0,011904762</w:t>
                  </w:r>
                </w:p>
              </w:tc>
              <w:tc>
                <w:tcPr>
                  <w:tcW w:w="1839" w:type="dxa"/>
                  <w:vAlign w:val="center"/>
                </w:tcPr>
                <w:p w14:paraId="50D76BFE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Сертификат</w:t>
                  </w:r>
                </w:p>
              </w:tc>
            </w:tr>
            <w:tr w:rsidR="0055078B" w14:paraId="71DD2E65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1CDF7BAF" w14:textId="05ED3742" w:rsidR="0055078B" w:rsidRDefault="0055078B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активация</w:t>
                  </w:r>
                  <w:r w:rsidRPr="0055078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лицензий 1 раз в год</w:t>
                  </w:r>
                </w:p>
              </w:tc>
              <w:tc>
                <w:tcPr>
                  <w:tcW w:w="2072" w:type="dxa"/>
                  <w:vAlign w:val="center"/>
                </w:tcPr>
                <w:p w14:paraId="44989FF2" w14:textId="243734CA" w:rsidR="0055078B" w:rsidRDefault="0055078B" w:rsidP="0055078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0,011363636</w:t>
                  </w:r>
                </w:p>
              </w:tc>
              <w:tc>
                <w:tcPr>
                  <w:tcW w:w="1839" w:type="dxa"/>
                  <w:vAlign w:val="center"/>
                </w:tcPr>
                <w:p w14:paraId="2E3CE9AC" w14:textId="358D4FBF" w:rsidR="0055078B" w:rsidRDefault="0055078B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Лицензия</w:t>
                  </w:r>
                </w:p>
              </w:tc>
            </w:tr>
            <w:tr w:rsidR="00581156" w14:paraId="7D892BC2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66091134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у</w:t>
                  </w: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правление пользователями и ролями доступа</w:t>
                  </w:r>
                </w:p>
              </w:tc>
              <w:tc>
                <w:tcPr>
                  <w:tcW w:w="2072" w:type="dxa"/>
                  <w:vAlign w:val="center"/>
                </w:tcPr>
                <w:p w14:paraId="04E5D46E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0,001488095</w:t>
                  </w:r>
                </w:p>
              </w:tc>
              <w:tc>
                <w:tcPr>
                  <w:tcW w:w="1839" w:type="dxa"/>
                  <w:vAlign w:val="center"/>
                </w:tcPr>
                <w:p w14:paraId="00133FF4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Пользователь</w:t>
                  </w:r>
                </w:p>
              </w:tc>
            </w:tr>
            <w:tr w:rsidR="00581156" w14:paraId="6C5A94F3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1260B38E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настройка профилей и задач сбора событий </w:t>
                  </w: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ИБ</w:t>
                  </w:r>
                </w:p>
              </w:tc>
              <w:tc>
                <w:tcPr>
                  <w:tcW w:w="2072" w:type="dxa"/>
                  <w:vAlign w:val="center"/>
                </w:tcPr>
                <w:p w14:paraId="22D51C70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0,005952381</w:t>
                  </w:r>
                </w:p>
              </w:tc>
              <w:tc>
                <w:tcPr>
                  <w:tcW w:w="1839" w:type="dxa"/>
                  <w:vAlign w:val="center"/>
                </w:tcPr>
                <w:p w14:paraId="64B0C3F6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Профиль + Задача</w:t>
                  </w:r>
                </w:p>
              </w:tc>
            </w:tr>
            <w:tr w:rsidR="00581156" w14:paraId="3325722E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6A110D49" w14:textId="77777777" w:rsidR="00581156" w:rsidRPr="00DA16E7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6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настройка системы хранения данных</w:t>
                  </w:r>
                </w:p>
              </w:tc>
              <w:tc>
                <w:tcPr>
                  <w:tcW w:w="2072" w:type="dxa"/>
                  <w:vAlign w:val="center"/>
                </w:tcPr>
                <w:p w14:paraId="2B378FA6" w14:textId="77777777" w:rsidR="00581156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0,017857143</w:t>
                  </w:r>
                </w:p>
              </w:tc>
              <w:tc>
                <w:tcPr>
                  <w:tcW w:w="1839" w:type="dxa"/>
                  <w:vAlign w:val="center"/>
                </w:tcPr>
                <w:p w14:paraId="0D8E9CE3" w14:textId="77777777" w:rsidR="00581156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581156" w14:paraId="6710B58F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3E9A0DA7" w14:textId="77777777" w:rsidR="00581156" w:rsidRPr="00E87043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настройка резервного копирования компонентов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Системы</w:t>
                  </w:r>
                </w:p>
              </w:tc>
              <w:tc>
                <w:tcPr>
                  <w:tcW w:w="2072" w:type="dxa"/>
                  <w:vAlign w:val="center"/>
                </w:tcPr>
                <w:p w14:paraId="370A8953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0,017857143</w:t>
                  </w:r>
                </w:p>
              </w:tc>
              <w:tc>
                <w:tcPr>
                  <w:tcW w:w="1839" w:type="dxa"/>
                  <w:vAlign w:val="center"/>
                </w:tcPr>
                <w:p w14:paraId="2A42FDD6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581156" w14:paraId="7F8F8DD4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60F3FBAE" w14:textId="77777777" w:rsidR="00581156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4061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внеплановое резервное копирование Системы</w:t>
                  </w:r>
                </w:p>
              </w:tc>
              <w:tc>
                <w:tcPr>
                  <w:tcW w:w="2072" w:type="dxa"/>
                  <w:vAlign w:val="center"/>
                </w:tcPr>
                <w:p w14:paraId="0B0B1ADB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0,005952381</w:t>
                  </w:r>
                </w:p>
              </w:tc>
              <w:tc>
                <w:tcPr>
                  <w:tcW w:w="1839" w:type="dxa"/>
                  <w:vAlign w:val="center"/>
                </w:tcPr>
                <w:p w14:paraId="4411F277" w14:textId="77777777" w:rsidR="00581156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581156" w14:paraId="04285333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4140EC9C" w14:textId="77777777" w:rsidR="00581156" w:rsidRPr="00DA16E7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</w:t>
                  </w:r>
                  <w:r w:rsidRPr="00DA16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осстановление работоспособности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компонентов Системы</w:t>
                  </w:r>
                </w:p>
              </w:tc>
              <w:tc>
                <w:tcPr>
                  <w:tcW w:w="2072" w:type="dxa"/>
                  <w:vAlign w:val="center"/>
                </w:tcPr>
                <w:p w14:paraId="72C1FA68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E8704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023809524</w:t>
                  </w:r>
                </w:p>
              </w:tc>
              <w:tc>
                <w:tcPr>
                  <w:tcW w:w="1839" w:type="dxa"/>
                  <w:vAlign w:val="center"/>
                </w:tcPr>
                <w:p w14:paraId="16B04A8A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Компонент</w:t>
                  </w:r>
                </w:p>
              </w:tc>
            </w:tr>
            <w:tr w:rsidR="00581156" w14:paraId="7C9641CE" w14:textId="77777777" w:rsidTr="009356C7">
              <w:trPr>
                <w:trHeight w:val="340"/>
              </w:trPr>
              <w:tc>
                <w:tcPr>
                  <w:tcW w:w="2573" w:type="dxa"/>
                  <w:vAlign w:val="center"/>
                </w:tcPr>
                <w:p w14:paraId="1A0C6E72" w14:textId="77777777" w:rsidR="00581156" w:rsidRPr="00DA16E7" w:rsidRDefault="00581156" w:rsidP="007B7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подключение</w:t>
                  </w:r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Системы к отраслевому</w:t>
                  </w:r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Корпоративн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ому</w:t>
                  </w:r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центр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ГосСОПКА</w:t>
                  </w:r>
                  <w:proofErr w:type="spellEnd"/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Госкорпорации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Росатом</w:t>
                  </w:r>
                  <w:proofErr w:type="spellEnd"/>
                  <w:r w:rsidRPr="003C325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72" w:type="dxa"/>
                  <w:vAlign w:val="center"/>
                </w:tcPr>
                <w:p w14:paraId="69F5D79D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A645E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0,238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095238</w:t>
                  </w:r>
                </w:p>
              </w:tc>
              <w:tc>
                <w:tcPr>
                  <w:tcW w:w="1839" w:type="dxa"/>
                  <w:vAlign w:val="center"/>
                </w:tcPr>
                <w:p w14:paraId="175D97D3" w14:textId="77777777" w:rsidR="00581156" w:rsidRPr="00E87043" w:rsidRDefault="00581156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Подключение</w:t>
                  </w:r>
                </w:p>
              </w:tc>
            </w:tr>
          </w:tbl>
          <w:p w14:paraId="2B6778F8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B9882C2" w14:textId="77777777" w:rsidR="00D35DB7" w:rsidRPr="00FE4644" w:rsidRDefault="00D35DB7" w:rsidP="00D35DB7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D35DB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бновление </w:t>
            </w:r>
            <w:r w:rsidR="00533E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Системы </w:t>
            </w:r>
            <w:r w:rsidR="00533E6B" w:rsidRPr="00533E6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 ТР Заказчика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646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9"/>
              <w:gridCol w:w="2134"/>
              <w:gridCol w:w="1842"/>
            </w:tblGrid>
            <w:tr w:rsidR="00834BF9" w:rsidRPr="0080303A" w14:paraId="58EE19D6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8" w:space="0" w:color="0D0D0D"/>
                    <w:left w:val="single" w:sz="8" w:space="0" w:color="0D0D0D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4DD1CF3" w14:textId="77777777" w:rsidR="00834BF9" w:rsidRPr="00D02362" w:rsidRDefault="00834BF9" w:rsidP="00851458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134" w:type="dxa"/>
                  <w:tcBorders>
                    <w:top w:val="single" w:sz="8" w:space="0" w:color="0D0D0D"/>
                    <w:left w:val="single" w:sz="8" w:space="0" w:color="0D0D0D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vAlign w:val="center"/>
                </w:tcPr>
                <w:p w14:paraId="11AC7344" w14:textId="77777777" w:rsidR="00834BF9" w:rsidRPr="00D02362" w:rsidRDefault="00834BF9" w:rsidP="008514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Трудозатраты на ед. измерения</w:t>
                  </w:r>
                </w:p>
              </w:tc>
              <w:tc>
                <w:tcPr>
                  <w:tcW w:w="1842" w:type="dxa"/>
                  <w:tcBorders>
                    <w:top w:val="single" w:sz="8" w:space="0" w:color="0D0D0D"/>
                    <w:left w:val="single" w:sz="8" w:space="0" w:color="0D0D0D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vAlign w:val="center"/>
                </w:tcPr>
                <w:p w14:paraId="1FCEBB24" w14:textId="77777777" w:rsidR="00834BF9" w:rsidRPr="00D02362" w:rsidRDefault="00834BF9" w:rsidP="00851458">
                  <w:pPr>
                    <w:spacing w:after="12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834BF9" w:rsidRPr="0080303A" w14:paraId="685B3EB0" w14:textId="77777777" w:rsidTr="00834BF9">
              <w:trPr>
                <w:trHeight w:val="454"/>
              </w:trPr>
              <w:tc>
                <w:tcPr>
                  <w:tcW w:w="6465" w:type="dxa"/>
                  <w:gridSpan w:val="3"/>
                  <w:tcBorders>
                    <w:top w:val="single" w:sz="8" w:space="0" w:color="0D0D0D"/>
                    <w:left w:val="single" w:sz="8" w:space="0" w:color="0D0D0D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6204B4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- обновление системы без сохранения данных</w:t>
                  </w:r>
                </w:p>
              </w:tc>
            </w:tr>
            <w:tr w:rsidR="00834BF9" w:rsidRPr="0080303A" w14:paraId="25C24ACD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80C2DA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Конфигурация «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All-in-One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BFE1A9" w14:textId="77777777" w:rsidR="00834BF9" w:rsidRPr="00D02362" w:rsidRDefault="00533E6B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1,71</w:t>
                  </w:r>
                  <w:r w:rsidR="000A4CC8" w:rsidRPr="00D02362">
                    <w:rPr>
                      <w:rFonts w:ascii="Times New Roman" w:hAnsi="Times New Roman"/>
                      <w:sz w:val="24"/>
                      <w:szCs w:val="24"/>
                    </w:rPr>
                    <w:t>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14100A3" w14:textId="77777777" w:rsidR="00834BF9" w:rsidRPr="00D02362" w:rsidRDefault="00834BF9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834BF9" w:rsidRPr="0080303A" w14:paraId="22B10394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9BC6F4B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Низконагруженная</w:t>
                  </w:r>
                  <w:proofErr w:type="spellEnd"/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D065B66" w14:textId="77777777" w:rsidR="00834BF9" w:rsidRPr="00D02362" w:rsidRDefault="000A4CC8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2,00000000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37ED3903" w14:textId="77777777" w:rsidR="00834BF9" w:rsidRPr="00D02362" w:rsidRDefault="00834BF9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834BF9" w:rsidRPr="0080303A" w14:paraId="413305FE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BE31649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Средненагруженная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DAE056" w14:textId="77777777" w:rsidR="00834BF9" w:rsidRPr="00D02362" w:rsidRDefault="000A4CC8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2,36000000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DD19C9" w14:textId="77777777" w:rsidR="00834BF9" w:rsidRPr="00D02362" w:rsidRDefault="00834BF9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834BF9" w:rsidRPr="0080303A" w14:paraId="771DCD8F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D79B02C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Высоконагруженная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0686C17" w14:textId="77777777" w:rsidR="00834BF9" w:rsidRPr="00D02362" w:rsidRDefault="000A4CC8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2,620000000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61077B9B" w14:textId="77777777" w:rsidR="00834BF9" w:rsidRPr="00D02362" w:rsidRDefault="00834BF9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834BF9" w:rsidRPr="0080303A" w14:paraId="688044E6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D63E880" w14:textId="77777777" w:rsidR="00834BF9" w:rsidRPr="00D02362" w:rsidRDefault="00834BF9" w:rsidP="00834BF9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Агент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CDB5297" w14:textId="77777777" w:rsidR="00834BF9" w:rsidRPr="00D02362" w:rsidRDefault="000A4CC8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0,180000000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4FC2766" w14:textId="77777777" w:rsidR="00834BF9" w:rsidRPr="00D02362" w:rsidRDefault="00834BF9" w:rsidP="00834BF9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Агент</w:t>
                  </w:r>
                </w:p>
              </w:tc>
            </w:tr>
            <w:tr w:rsidR="00834BF9" w:rsidRPr="0080303A" w14:paraId="01ED23CD" w14:textId="77777777" w:rsidTr="00834BF9">
              <w:trPr>
                <w:trHeight w:val="454"/>
              </w:trPr>
              <w:tc>
                <w:tcPr>
                  <w:tcW w:w="64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E02B63" w14:textId="77777777" w:rsidR="00834BF9" w:rsidRPr="00D02362" w:rsidRDefault="00834BF9" w:rsidP="000A4CC8">
                  <w:pPr>
                    <w:spacing w:after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- обновление системы </w:t>
                  </w:r>
                  <w:r w:rsidR="000A4CC8"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с</w:t>
                  </w: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сохранени</w:t>
                  </w:r>
                  <w:r w:rsidR="000A4CC8"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ем</w:t>
                  </w:r>
                  <w:r w:rsidRPr="00D0236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данных</w:t>
                  </w:r>
                </w:p>
              </w:tc>
            </w:tr>
            <w:tr w:rsidR="000A4CC8" w:rsidRPr="0080303A" w14:paraId="6555DFDD" w14:textId="77777777" w:rsidTr="00851458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18310BF" w14:textId="77777777" w:rsidR="000A4CC8" w:rsidRPr="00D02362" w:rsidRDefault="000A4CC8" w:rsidP="00851458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Конфигурация «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All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in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One</w:t>
                  </w: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C261561" w14:textId="77777777" w:rsidR="000A4CC8" w:rsidRPr="00D02362" w:rsidRDefault="000A4CC8" w:rsidP="000A4C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2,052000000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C0EF83B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0A4CC8" w:rsidRPr="0080303A" w14:paraId="4E78E8E7" w14:textId="77777777" w:rsidTr="00851458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A79FD39" w14:textId="77777777" w:rsidR="000A4CC8" w:rsidRPr="00D02362" w:rsidRDefault="000A4CC8" w:rsidP="00851458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Низконагруженная</w:t>
                  </w:r>
                  <w:proofErr w:type="spellEnd"/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4F448AD" w14:textId="77777777" w:rsidR="000A4CC8" w:rsidRPr="00D02362" w:rsidRDefault="000A4CC8" w:rsidP="000A4C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2,400000000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4A94EDF0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0A4CC8" w:rsidRPr="0080303A" w14:paraId="602790F3" w14:textId="77777777" w:rsidTr="00851458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F8BC228" w14:textId="77777777" w:rsidR="000A4CC8" w:rsidRPr="00D02362" w:rsidRDefault="000A4CC8" w:rsidP="00851458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Средненагруженная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FA44302" w14:textId="77777777" w:rsidR="000A4CC8" w:rsidRPr="00D02362" w:rsidRDefault="000A4CC8" w:rsidP="000A4C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2,832000000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BAB92B2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0A4CC8" w:rsidRPr="0080303A" w14:paraId="1C2A3B61" w14:textId="77777777" w:rsidTr="00851458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8F0B5C2" w14:textId="77777777" w:rsidR="000A4CC8" w:rsidRPr="00D02362" w:rsidRDefault="000A4CC8" w:rsidP="00851458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Высоконагруженная Система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579BA80" w14:textId="77777777" w:rsidR="000A4CC8" w:rsidRPr="00D02362" w:rsidRDefault="000A4CC8" w:rsidP="000A4CC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3,144000000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59F4B756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Система</w:t>
                  </w:r>
                </w:p>
              </w:tc>
            </w:tr>
            <w:tr w:rsidR="000A4CC8" w:rsidRPr="0080303A" w14:paraId="44218F14" w14:textId="77777777" w:rsidTr="00834BF9">
              <w:trPr>
                <w:trHeight w:val="454"/>
              </w:trPr>
              <w:tc>
                <w:tcPr>
                  <w:tcW w:w="2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B34C99D" w14:textId="77777777" w:rsidR="000A4CC8" w:rsidRPr="00D02362" w:rsidRDefault="000A4CC8" w:rsidP="00851458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Агент</w:t>
                  </w:r>
                </w:p>
              </w:tc>
              <w:tc>
                <w:tcPr>
                  <w:tcW w:w="2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27498D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0,180000000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253D84EF" w14:textId="77777777" w:rsidR="000A4CC8" w:rsidRPr="00D02362" w:rsidRDefault="000A4CC8" w:rsidP="00851458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sz w:val="24"/>
                      <w:szCs w:val="24"/>
                    </w:rPr>
                    <w:t>Агент</w:t>
                  </w:r>
                </w:p>
              </w:tc>
            </w:tr>
          </w:tbl>
          <w:p w14:paraId="567ACC54" w14:textId="77777777" w:rsidR="00D35DB7" w:rsidRDefault="00D35DB7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FFD9918" w14:textId="77777777" w:rsidR="00581156" w:rsidRPr="00FE4644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Сбор, 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анализ событий ИБ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в</w:t>
            </w:r>
            <w:r w:rsidRPr="004C23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ыявление инцидентов ИБ в Систем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64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2996"/>
            </w:tblGrid>
            <w:tr w:rsidR="00581156" w:rsidRPr="0080303A" w14:paraId="4F7653EC" w14:textId="77777777" w:rsidTr="00581156">
              <w:trPr>
                <w:trHeight w:val="454"/>
              </w:trPr>
              <w:tc>
                <w:tcPr>
                  <w:tcW w:w="3483" w:type="dxa"/>
                  <w:tcBorders>
                    <w:top w:val="single" w:sz="8" w:space="0" w:color="0D0D0D"/>
                    <w:left w:val="single" w:sz="8" w:space="0" w:color="0D0D0D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E6FABE" w14:textId="77777777" w:rsidR="00581156" w:rsidRPr="0080303A" w:rsidRDefault="00581156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 250 событий в секунду</w:t>
                  </w:r>
                </w:p>
              </w:tc>
              <w:tc>
                <w:tcPr>
                  <w:tcW w:w="2996" w:type="dxa"/>
                  <w:tcBorders>
                    <w:top w:val="single" w:sz="8" w:space="0" w:color="0D0D0D"/>
                    <w:left w:val="nil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2E40BB" w14:textId="77777777" w:rsidR="00581156" w:rsidRPr="0080303A" w:rsidRDefault="00581156" w:rsidP="0058115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sz w:val="24"/>
                      <w:szCs w:val="24"/>
                    </w:rPr>
                    <w:t>0,000029760</w:t>
                  </w:r>
                </w:p>
              </w:tc>
            </w:tr>
            <w:tr w:rsidR="00581156" w:rsidRPr="0080303A" w14:paraId="0A41017D" w14:textId="77777777" w:rsidTr="00581156">
              <w:trPr>
                <w:trHeight w:val="454"/>
              </w:trPr>
              <w:tc>
                <w:tcPr>
                  <w:tcW w:w="3483" w:type="dxa"/>
                  <w:tcBorders>
                    <w:top w:val="nil"/>
                    <w:left w:val="single" w:sz="8" w:space="0" w:color="0D0D0D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97E66AB" w14:textId="77777777" w:rsidR="00581156" w:rsidRPr="0080303A" w:rsidRDefault="00581156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до 500 событий в секунду</w:t>
                  </w:r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35711B" w14:textId="77777777" w:rsidR="00581156" w:rsidRPr="0080303A" w:rsidRDefault="00581156" w:rsidP="0058115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sz w:val="24"/>
                      <w:szCs w:val="24"/>
                    </w:rPr>
                    <w:t>0,000028270</w:t>
                  </w:r>
                </w:p>
              </w:tc>
            </w:tr>
            <w:tr w:rsidR="00581156" w:rsidRPr="0080303A" w14:paraId="1ADBB111" w14:textId="77777777" w:rsidTr="00581156">
              <w:trPr>
                <w:trHeight w:val="454"/>
              </w:trPr>
              <w:tc>
                <w:tcPr>
                  <w:tcW w:w="3483" w:type="dxa"/>
                  <w:tcBorders>
                    <w:top w:val="nil"/>
                    <w:left w:val="single" w:sz="8" w:space="0" w:color="0D0D0D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E2C25E" w14:textId="77777777" w:rsidR="00581156" w:rsidRPr="0080303A" w:rsidRDefault="00581156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 1000 событий в секунду</w:t>
                  </w:r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47858F" w14:textId="77777777" w:rsidR="00581156" w:rsidRPr="0080303A" w:rsidRDefault="00581156" w:rsidP="0058115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sz w:val="24"/>
                      <w:szCs w:val="24"/>
                    </w:rPr>
                    <w:t>0,000026790</w:t>
                  </w:r>
                </w:p>
              </w:tc>
            </w:tr>
            <w:tr w:rsidR="00581156" w:rsidRPr="0080303A" w14:paraId="7EE88950" w14:textId="77777777" w:rsidTr="00581156">
              <w:trPr>
                <w:trHeight w:val="454"/>
              </w:trPr>
              <w:tc>
                <w:tcPr>
                  <w:tcW w:w="3483" w:type="dxa"/>
                  <w:tcBorders>
                    <w:top w:val="nil"/>
                    <w:left w:val="single" w:sz="8" w:space="0" w:color="0D0D0D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4A526" w14:textId="77777777" w:rsidR="00581156" w:rsidRPr="0080303A" w:rsidRDefault="00581156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 2500 событий в секунду</w:t>
                  </w:r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E0AA0E" w14:textId="77777777" w:rsidR="00581156" w:rsidRPr="0080303A" w:rsidRDefault="00581156" w:rsidP="0058115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sz w:val="24"/>
                      <w:szCs w:val="24"/>
                    </w:rPr>
                    <w:t>0,000023810</w:t>
                  </w:r>
                </w:p>
              </w:tc>
            </w:tr>
            <w:tr w:rsidR="00581156" w:rsidRPr="0080303A" w14:paraId="59EA9638" w14:textId="77777777" w:rsidTr="00581156">
              <w:trPr>
                <w:trHeight w:val="454"/>
              </w:trPr>
              <w:tc>
                <w:tcPr>
                  <w:tcW w:w="3483" w:type="dxa"/>
                  <w:tcBorders>
                    <w:top w:val="nil"/>
                    <w:left w:val="single" w:sz="8" w:space="0" w:color="0D0D0D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E8C50A" w14:textId="77777777" w:rsidR="00581156" w:rsidRPr="0080303A" w:rsidRDefault="00581156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свыше 2500 событий в секунду</w:t>
                  </w:r>
                </w:p>
              </w:tc>
              <w:tc>
                <w:tcPr>
                  <w:tcW w:w="2996" w:type="dxa"/>
                  <w:tcBorders>
                    <w:top w:val="nil"/>
                    <w:left w:val="nil"/>
                    <w:bottom w:val="single" w:sz="8" w:space="0" w:color="0D0D0D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DBD797" w14:textId="77777777" w:rsidR="00581156" w:rsidRPr="0080303A" w:rsidRDefault="00581156" w:rsidP="00581156">
                  <w:pPr>
                    <w:spacing w:after="0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0303A">
                    <w:rPr>
                      <w:rFonts w:ascii="Times New Roman" w:hAnsi="Times New Roman"/>
                      <w:sz w:val="24"/>
                      <w:szCs w:val="24"/>
                    </w:rPr>
                    <w:t>0,000019350</w:t>
                  </w:r>
                </w:p>
              </w:tc>
            </w:tr>
          </w:tbl>
          <w:p w14:paraId="1791BE6F" w14:textId="77777777" w:rsidR="00581156" w:rsidRDefault="00581156" w:rsidP="005811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0303A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 10 000 событий ИБ.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D4364DE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D81697F" w14:textId="77777777" w:rsidR="00581156" w:rsidRPr="00FE4644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1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Реагирование на инциденты ИБ, выявленны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</w:t>
            </w:r>
            <w:r w:rsidRPr="00B821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 </w:t>
            </w:r>
            <w:r w:rsidRPr="00B821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Системе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8B9069A" w14:textId="77777777" w:rsidR="00581156" w:rsidRDefault="00581156" w:rsidP="005811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644">
              <w:rPr>
                <w:rFonts w:ascii="Times New Roman" w:hAnsi="Times New Roman"/>
                <w:color w:val="000000"/>
                <w:sz w:val="24"/>
                <w:szCs w:val="24"/>
              </w:rPr>
              <w:t>0,003472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</w:p>
          <w:p w14:paraId="4D3F1723" w14:textId="77777777" w:rsidR="00581156" w:rsidRDefault="00581156" w:rsidP="005811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измерения: Инцидент ИБ. </w:t>
            </w:r>
          </w:p>
          <w:p w14:paraId="086787B7" w14:textId="77777777" w:rsidR="00581156" w:rsidRPr="00FE4644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</w:p>
          <w:p w14:paraId="06CE1D79" w14:textId="77777777" w:rsidR="00581156" w:rsidRPr="00FE4644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Подключение нестандартных источников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событий ИБ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истему:</w:t>
            </w:r>
          </w:p>
          <w:p w14:paraId="2C4D61F5" w14:textId="77777777" w:rsidR="00581156" w:rsidRPr="00B05896" w:rsidRDefault="00581156" w:rsidP="005811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FE4644">
              <w:rPr>
                <w:rFonts w:ascii="Times New Roman" w:hAnsi="Times New Roman"/>
                <w:color w:val="000000"/>
                <w:sz w:val="24"/>
                <w:szCs w:val="24"/>
              </w:rPr>
              <w:t>0,28571</w:t>
            </w:r>
            <w:r w:rsidRPr="00B05896">
              <w:rPr>
                <w:rFonts w:ascii="Times New Roman" w:hAnsi="Times New Roman"/>
                <w:color w:val="000000"/>
                <w:sz w:val="24"/>
                <w:szCs w:val="24"/>
              </w:rPr>
              <w:t>0000</w:t>
            </w:r>
          </w:p>
          <w:p w14:paraId="2FB3B3EB" w14:textId="77777777" w:rsidR="00581156" w:rsidRDefault="00581156" w:rsidP="0058115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Единица измерения: Источник. </w:t>
            </w:r>
          </w:p>
          <w:p w14:paraId="1C0A15E4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9F6854C" w14:textId="77777777" w:rsidR="00581156" w:rsidRDefault="00581156" w:rsidP="00581156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821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Предоставление отчётности по выявленным инцидентам ИБ</w:t>
            </w:r>
            <w:r w:rsidRPr="00FE46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tbl>
            <w:tblPr>
              <w:tblW w:w="647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3"/>
              <w:gridCol w:w="2996"/>
            </w:tblGrid>
            <w:tr w:rsidR="007B7B12" w:rsidRPr="00D02362" w14:paraId="7895B857" w14:textId="77777777" w:rsidTr="00A8700C">
              <w:trPr>
                <w:trHeight w:val="454"/>
              </w:trPr>
              <w:tc>
                <w:tcPr>
                  <w:tcW w:w="3483" w:type="dxa"/>
                  <w:tcBorders>
                    <w:top w:val="single" w:sz="8" w:space="0" w:color="0D0D0D"/>
                    <w:left w:val="single" w:sz="8" w:space="0" w:color="0D0D0D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649AAA" w14:textId="77777777" w:rsidR="007B7B12" w:rsidRPr="00D02362" w:rsidRDefault="007B7B12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Еженедельный отчёт</w:t>
                  </w:r>
                </w:p>
              </w:tc>
              <w:tc>
                <w:tcPr>
                  <w:tcW w:w="2996" w:type="dxa"/>
                  <w:tcBorders>
                    <w:top w:val="single" w:sz="8" w:space="0" w:color="0D0D0D"/>
                    <w:left w:val="nil"/>
                    <w:bottom w:val="single" w:sz="4" w:space="0" w:color="auto"/>
                    <w:right w:val="single" w:sz="8" w:space="0" w:color="0D0D0D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8E2E5E" w14:textId="77777777" w:rsidR="007B7B12" w:rsidRPr="00D02362" w:rsidRDefault="007B7B12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0,011905000</w:t>
                  </w:r>
                </w:p>
              </w:tc>
            </w:tr>
            <w:tr w:rsidR="007B7B12" w:rsidRPr="00D02362" w14:paraId="6E59C316" w14:textId="77777777" w:rsidTr="00A8700C">
              <w:trPr>
                <w:trHeight w:val="454"/>
              </w:trPr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2CDECE6" w14:textId="77777777" w:rsidR="007B7B12" w:rsidRPr="00D02362" w:rsidRDefault="007B7B12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Ежемесячный отчёт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0600CE" w14:textId="77777777" w:rsidR="007B7B12" w:rsidRPr="00D02362" w:rsidRDefault="007B7B12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0,047620000</w:t>
                  </w:r>
                </w:p>
              </w:tc>
            </w:tr>
            <w:tr w:rsidR="00A8700C" w:rsidRPr="00D02362" w14:paraId="333E6B09" w14:textId="77777777" w:rsidTr="00A8700C">
              <w:trPr>
                <w:trHeight w:val="454"/>
              </w:trPr>
              <w:tc>
                <w:tcPr>
                  <w:tcW w:w="3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49E248C" w14:textId="77777777" w:rsidR="00A8700C" w:rsidRPr="00D02362" w:rsidRDefault="00A8700C" w:rsidP="007B7B12">
                  <w:pPr>
                    <w:spacing w:after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Ежеквартальный отчет</w:t>
                  </w:r>
                </w:p>
              </w:tc>
              <w:tc>
                <w:tcPr>
                  <w:tcW w:w="29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ECC495" w14:textId="77777777" w:rsidR="00A8700C" w:rsidRPr="00D02362" w:rsidRDefault="00A8700C" w:rsidP="007B7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D0236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0,095240000</w:t>
                  </w:r>
                </w:p>
              </w:tc>
            </w:tr>
          </w:tbl>
          <w:p w14:paraId="2F739D5D" w14:textId="2A664FD9" w:rsidR="007B7B12" w:rsidRPr="00C33441" w:rsidRDefault="00581156" w:rsidP="005811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2362">
              <w:rPr>
                <w:rFonts w:ascii="Times New Roman" w:hAnsi="Times New Roman"/>
                <w:color w:val="000000"/>
                <w:sz w:val="24"/>
                <w:szCs w:val="24"/>
              </w:rPr>
              <w:t>Единица измерения: Отчёт.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68CE2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60A7482F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1813B0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5C3981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AD654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613D307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5743D6"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19372C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1A874E5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911A3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5689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281B7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39708F3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5743D6" w:rsidRPr="00727787">
              <w:rPr>
                <w:rFonts w:ascii="Times New Roman" w:hAnsi="Times New Roman"/>
                <w:color w:val="000000"/>
                <w:sz w:val="24"/>
                <w:szCs w:val="24"/>
              </w:rPr>
              <w:t>Не предусмотрена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43F0B7D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0AC72F5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5699330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E4817E1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3EC9040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597AEA1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308D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89F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520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B77BC" w14:textId="77777777" w:rsidR="00B91B62" w:rsidRPr="000B02E6" w:rsidRDefault="00581156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ED530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4CC435B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323F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8D8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42D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B1BC8" w14:textId="77777777" w:rsidR="00B91B62" w:rsidRPr="000B02E6" w:rsidRDefault="0058115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45BF6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C94A273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0E6B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6FC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8D0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1B1FC" w14:textId="77777777" w:rsidR="00B91B62" w:rsidRPr="000B02E6" w:rsidRDefault="0058115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F6011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CCAF06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9007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14F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76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B72F" w14:textId="77777777" w:rsidR="00B91B62" w:rsidRPr="000B02E6" w:rsidRDefault="0058115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C349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2741F25A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688C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D60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>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03A25F55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F29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AFD06" w14:textId="77777777" w:rsidR="00B91B62" w:rsidRPr="000B02E6" w:rsidRDefault="00581156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3E4E08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49AB6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A52772F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27FB2F4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D8F2A" w14:textId="77777777" w:rsidR="00B0617B" w:rsidRPr="00992CCE" w:rsidRDefault="00B0617B" w:rsidP="00BD4598">
      <w:pPr>
        <w:spacing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BD4598"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A60BD" w14:textId="77777777" w:rsidR="00740138" w:rsidRDefault="00740138" w:rsidP="00427828">
      <w:pPr>
        <w:spacing w:after="0" w:line="240" w:lineRule="auto"/>
      </w:pPr>
      <w:r>
        <w:separator/>
      </w:r>
    </w:p>
  </w:endnote>
  <w:endnote w:type="continuationSeparator" w:id="0">
    <w:p w14:paraId="6D93B65A" w14:textId="77777777" w:rsidR="00740138" w:rsidRDefault="00740138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F6D0A" w14:textId="77777777" w:rsidR="00740138" w:rsidRDefault="00740138" w:rsidP="00427828">
      <w:pPr>
        <w:spacing w:after="0" w:line="240" w:lineRule="auto"/>
      </w:pPr>
      <w:r>
        <w:separator/>
      </w:r>
    </w:p>
  </w:footnote>
  <w:footnote w:type="continuationSeparator" w:id="0">
    <w:p w14:paraId="783F72E4" w14:textId="77777777" w:rsidR="00740138" w:rsidRDefault="00740138" w:rsidP="00427828">
      <w:pPr>
        <w:spacing w:after="0" w:line="240" w:lineRule="auto"/>
      </w:pPr>
      <w:r>
        <w:continuationSeparator/>
      </w:r>
    </w:p>
  </w:footnote>
  <w:footnote w:id="1">
    <w:p w14:paraId="28B35417" w14:textId="77777777" w:rsidR="00740138" w:rsidRPr="00D35DB7" w:rsidRDefault="00740138">
      <w:pPr>
        <w:pStyle w:val="af0"/>
        <w:rPr>
          <w:lang w:val="ru-RU"/>
        </w:rPr>
      </w:pPr>
      <w:r>
        <w:rPr>
          <w:rStyle w:val="af"/>
        </w:rPr>
        <w:footnoteRef/>
      </w:r>
      <w:r w:rsidRPr="00D35DB7">
        <w:rPr>
          <w:lang w:val="ru-RU"/>
        </w:rPr>
        <w:t xml:space="preserve"> </w:t>
      </w:r>
      <w:r w:rsidRPr="00D35DB7">
        <w:rPr>
          <w:rFonts w:ascii="Times New Roman" w:hAnsi="Times New Roman"/>
          <w:lang w:val="ru-RU"/>
        </w:rPr>
        <w:t>При условии предоставления серверных мощностей для миграции.</w:t>
      </w:r>
    </w:p>
  </w:footnote>
  <w:footnote w:id="2">
    <w:p w14:paraId="02ADD093" w14:textId="77777777" w:rsidR="00740138" w:rsidRPr="00581156" w:rsidRDefault="00740138" w:rsidP="00581156">
      <w:pPr>
        <w:pStyle w:val="af0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4C23A0">
        <w:rPr>
          <w:rStyle w:val="af"/>
          <w:rFonts w:ascii="Times New Roman" w:hAnsi="Times New Roman"/>
        </w:rPr>
        <w:footnoteRef/>
      </w:r>
      <w:r w:rsidRPr="00581156">
        <w:rPr>
          <w:rFonts w:ascii="Times New Roman" w:hAnsi="Times New Roman"/>
          <w:lang w:val="ru-RU"/>
        </w:rPr>
        <w:t xml:space="preserve"> </w:t>
      </w:r>
      <w:r w:rsidRPr="008A126D">
        <w:rPr>
          <w:rFonts w:ascii="Times New Roman" w:hAnsi="Times New Roman"/>
          <w:lang w:val="ru-RU"/>
        </w:rPr>
        <w:t>Стандартный источник событий ИБ – источник ИБ, подключение которого документально описано разработчиком Системы, а также, для которого написано правило нормализации и корреляции и протестировано разработчиком Системы. Правила нормализации и корреляции применяются как есть, без внесения изменений. При необходимости изменений правил нормализации и корреляции работы выполняются в рамках работ по подключению нестандартных источников событий ИБ. Состав работ: настройка профиля в Системе, добавление учётных записей в Системе, создание и запуск задач в Системе.</w:t>
      </w:r>
    </w:p>
  </w:footnote>
  <w:footnote w:id="3">
    <w:p w14:paraId="61273F30" w14:textId="77777777" w:rsidR="00740138" w:rsidRPr="008A126D" w:rsidRDefault="00740138" w:rsidP="001B4424">
      <w:pPr>
        <w:pStyle w:val="af0"/>
        <w:tabs>
          <w:tab w:val="left" w:pos="0"/>
        </w:tabs>
        <w:jc w:val="both"/>
        <w:rPr>
          <w:rFonts w:ascii="Times New Roman" w:hAnsi="Times New Roman"/>
          <w:lang w:val="ru-RU"/>
        </w:rPr>
      </w:pPr>
      <w:r w:rsidRPr="008A126D">
        <w:rPr>
          <w:rStyle w:val="af"/>
        </w:rPr>
        <w:footnoteRef/>
      </w:r>
      <w:r w:rsidRPr="008A126D">
        <w:rPr>
          <w:lang w:val="ru-RU"/>
        </w:rPr>
        <w:t xml:space="preserve"> </w:t>
      </w:r>
      <w:r w:rsidRPr="008A126D">
        <w:rPr>
          <w:rFonts w:ascii="Times New Roman" w:hAnsi="Times New Roman"/>
          <w:lang w:val="ru-RU"/>
        </w:rPr>
        <w:t>Состав работ: настройка профиля в Системе, добавление учётных записей в Системе, создание и запуск задач в Системе, разработка и тестирование правил нормализации и корреляции.</w:t>
      </w:r>
    </w:p>
  </w:footnote>
  <w:footnote w:id="4">
    <w:p w14:paraId="39AFFF97" w14:textId="77777777" w:rsidR="00740138" w:rsidRPr="008A126D" w:rsidRDefault="00740138" w:rsidP="00581156">
      <w:pPr>
        <w:pStyle w:val="af0"/>
        <w:rPr>
          <w:lang w:val="ru-RU"/>
        </w:rPr>
      </w:pPr>
      <w:r w:rsidRPr="008A126D">
        <w:rPr>
          <w:rStyle w:val="af"/>
        </w:rPr>
        <w:footnoteRef/>
      </w:r>
      <w:r w:rsidRPr="008A126D">
        <w:rPr>
          <w:lang w:val="ru-RU"/>
        </w:rPr>
        <w:t xml:space="preserve"> Р</w:t>
      </w:r>
      <w:r w:rsidRPr="008A126D">
        <w:rPr>
          <w:rFonts w:ascii="Times New Roman" w:hAnsi="Times New Roman"/>
          <w:lang w:val="ru-RU"/>
        </w:rPr>
        <w:t>екомендуется дополнительно проводить обследование внешнего периметра ИТ-инфраструктуры Заказчика.</w:t>
      </w:r>
    </w:p>
  </w:footnote>
  <w:footnote w:id="5">
    <w:p w14:paraId="2FED0498" w14:textId="77777777" w:rsidR="00740138" w:rsidRPr="008A126D" w:rsidRDefault="00740138" w:rsidP="00581156">
      <w:pPr>
        <w:pStyle w:val="af0"/>
        <w:rPr>
          <w:lang w:val="ru-RU"/>
        </w:rPr>
      </w:pPr>
      <w:r w:rsidRPr="008A126D">
        <w:rPr>
          <w:rStyle w:val="af"/>
        </w:rPr>
        <w:footnoteRef/>
      </w:r>
      <w:r w:rsidRPr="008A126D">
        <w:rPr>
          <w:lang w:val="ru-RU"/>
        </w:rPr>
        <w:t xml:space="preserve"> </w:t>
      </w:r>
      <w:r w:rsidRPr="008A126D">
        <w:rPr>
          <w:rFonts w:ascii="Times New Roman" w:hAnsi="Times New Roman"/>
          <w:lang w:val="ru-RU"/>
        </w:rPr>
        <w:t>При необходимости выездного обследования командировочные расходы оплачиваются отдельно.</w:t>
      </w:r>
    </w:p>
  </w:footnote>
  <w:footnote w:id="6">
    <w:p w14:paraId="32D612A9" w14:textId="77777777" w:rsidR="00740138" w:rsidRPr="00581156" w:rsidRDefault="00740138" w:rsidP="00581156">
      <w:pPr>
        <w:pStyle w:val="af0"/>
        <w:rPr>
          <w:rFonts w:ascii="Times New Roman" w:hAnsi="Times New Roman"/>
          <w:lang w:val="ru-RU"/>
        </w:rPr>
      </w:pPr>
      <w:r w:rsidRPr="008A126D">
        <w:rPr>
          <w:rStyle w:val="af"/>
          <w:rFonts w:ascii="Times New Roman" w:hAnsi="Times New Roman"/>
        </w:rPr>
        <w:footnoteRef/>
      </w:r>
      <w:r w:rsidRPr="008A126D">
        <w:rPr>
          <w:rFonts w:ascii="Times New Roman" w:hAnsi="Times New Roman"/>
          <w:lang w:val="ru-RU"/>
        </w:rPr>
        <w:t xml:space="preserve"> Заполненная опросная карточка подключения услуги направляется в рабочем порядке менеджеру услуги.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D4806" w14:textId="77777777" w:rsidR="00740138" w:rsidRDefault="00740138" w:rsidP="00DD5680">
    <w:pPr>
      <w:pStyle w:val="a4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E4C"/>
    <w:multiLevelType w:val="multilevel"/>
    <w:tmpl w:val="47A4EC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1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D7116"/>
    <w:multiLevelType w:val="hybridMultilevel"/>
    <w:tmpl w:val="48E4C2FC"/>
    <w:lvl w:ilvl="0" w:tplc="5FF6B658">
      <w:start w:val="1"/>
      <w:numFmt w:val="bullet"/>
      <w:lvlText w:val="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35913780"/>
    <w:multiLevelType w:val="multilevel"/>
    <w:tmpl w:val="E0E436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90FBD"/>
    <w:multiLevelType w:val="hybridMultilevel"/>
    <w:tmpl w:val="3B5C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7B46E1"/>
    <w:multiLevelType w:val="hybridMultilevel"/>
    <w:tmpl w:val="F6A6F2B4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49A9272B"/>
    <w:multiLevelType w:val="hybridMultilevel"/>
    <w:tmpl w:val="8F648464"/>
    <w:lvl w:ilvl="0" w:tplc="B570F686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97B96"/>
    <w:multiLevelType w:val="hybridMultilevel"/>
    <w:tmpl w:val="9CAC1D3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52000D6E"/>
    <w:multiLevelType w:val="multilevel"/>
    <w:tmpl w:val="3A7C137A"/>
    <w:lvl w:ilvl="0">
      <w:start w:val="1"/>
      <w:numFmt w:val="bullet"/>
      <w:pStyle w:val="a"/>
      <w:lvlText w:val=""/>
      <w:lvlJc w:val="left"/>
      <w:pPr>
        <w:tabs>
          <w:tab w:val="num" w:pos="1247"/>
        </w:tabs>
        <w:ind w:left="1247" w:hanging="396"/>
      </w:pPr>
      <w:rPr>
        <w:rFonts w:ascii="Symbol" w:hAnsi="Symbol" w:cs="Times New Roman" w:hint="default"/>
        <w:color w:val="auto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644"/>
        </w:tabs>
        <w:ind w:left="1644" w:hanging="397"/>
      </w:pPr>
      <w:rPr>
        <w:rFonts w:ascii="Wingdings" w:hAnsi="Wingdings" w:cs="Times New Roman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2041"/>
        </w:tabs>
        <w:ind w:left="2041" w:hanging="397"/>
      </w:pPr>
      <w:rPr>
        <w:rFonts w:ascii="Wingdings" w:hAnsi="Wingdings" w:cs="Times New Roman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552"/>
        </w:tabs>
        <w:ind w:left="2552" w:hanging="511"/>
      </w:pPr>
      <w:rPr>
        <w:rFonts w:ascii="Symbol" w:hAnsi="Symbol" w:cs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587"/>
        </w:tabs>
        <w:ind w:left="3587" w:hanging="93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95"/>
        </w:tabs>
        <w:ind w:left="4595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71"/>
        </w:tabs>
        <w:ind w:left="5171" w:hanging="1440"/>
      </w:pPr>
      <w:rPr>
        <w:rFonts w:hint="default"/>
      </w:rPr>
    </w:lvl>
  </w:abstractNum>
  <w:abstractNum w:abstractNumId="29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2C106F"/>
    <w:multiLevelType w:val="hybridMultilevel"/>
    <w:tmpl w:val="11F2C168"/>
    <w:lvl w:ilvl="0" w:tplc="BF36EF14">
      <w:start w:val="1"/>
      <w:numFmt w:val="bullet"/>
      <w:lvlText w:val="–"/>
      <w:lvlJc w:val="left"/>
      <w:pPr>
        <w:ind w:left="1967" w:hanging="360"/>
      </w:pPr>
      <w:rPr>
        <w:rFonts w:ascii="Times New Roman" w:hAnsi="Times New Roman" w:cs="Times New Roman" w:hint="default"/>
      </w:rPr>
    </w:lvl>
    <w:lvl w:ilvl="1" w:tplc="6AF00782">
      <w:numFmt w:val="bullet"/>
      <w:lvlText w:val="•"/>
      <w:lvlJc w:val="left"/>
      <w:pPr>
        <w:ind w:left="3047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3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D6AC0"/>
    <w:multiLevelType w:val="hybridMultilevel"/>
    <w:tmpl w:val="1F22D0CA"/>
    <w:lvl w:ilvl="0" w:tplc="BF36EF14">
      <w:start w:val="1"/>
      <w:numFmt w:val="bullet"/>
      <w:lvlText w:val="–"/>
      <w:lvlJc w:val="left"/>
      <w:pPr>
        <w:ind w:left="75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9"/>
  </w:num>
  <w:num w:numId="3">
    <w:abstractNumId w:val="22"/>
  </w:num>
  <w:num w:numId="4">
    <w:abstractNumId w:val="4"/>
  </w:num>
  <w:num w:numId="5">
    <w:abstractNumId w:val="7"/>
  </w:num>
  <w:num w:numId="6">
    <w:abstractNumId w:val="29"/>
  </w:num>
  <w:num w:numId="7">
    <w:abstractNumId w:val="37"/>
  </w:num>
  <w:num w:numId="8">
    <w:abstractNumId w:val="19"/>
  </w:num>
  <w:num w:numId="9">
    <w:abstractNumId w:val="6"/>
  </w:num>
  <w:num w:numId="10">
    <w:abstractNumId w:val="36"/>
  </w:num>
  <w:num w:numId="11">
    <w:abstractNumId w:val="12"/>
  </w:num>
  <w:num w:numId="12">
    <w:abstractNumId w:val="2"/>
  </w:num>
  <w:num w:numId="13">
    <w:abstractNumId w:val="8"/>
  </w:num>
  <w:num w:numId="14">
    <w:abstractNumId w:val="20"/>
  </w:num>
  <w:num w:numId="15">
    <w:abstractNumId w:val="17"/>
  </w:num>
  <w:num w:numId="16">
    <w:abstractNumId w:val="9"/>
  </w:num>
  <w:num w:numId="17">
    <w:abstractNumId w:val="23"/>
  </w:num>
  <w:num w:numId="18">
    <w:abstractNumId w:val="35"/>
  </w:num>
  <w:num w:numId="19">
    <w:abstractNumId w:val="3"/>
  </w:num>
  <w:num w:numId="20">
    <w:abstractNumId w:val="34"/>
  </w:num>
  <w:num w:numId="21">
    <w:abstractNumId w:val="14"/>
  </w:num>
  <w:num w:numId="22">
    <w:abstractNumId w:val="30"/>
  </w:num>
  <w:num w:numId="23">
    <w:abstractNumId w:val="26"/>
  </w:num>
  <w:num w:numId="24">
    <w:abstractNumId w:val="24"/>
  </w:num>
  <w:num w:numId="25">
    <w:abstractNumId w:val="15"/>
  </w:num>
  <w:num w:numId="26">
    <w:abstractNumId w:val="10"/>
  </w:num>
  <w:num w:numId="27">
    <w:abstractNumId w:val="27"/>
  </w:num>
  <w:num w:numId="28">
    <w:abstractNumId w:val="1"/>
  </w:num>
  <w:num w:numId="29">
    <w:abstractNumId w:val="38"/>
  </w:num>
  <w:num w:numId="30">
    <w:abstractNumId w:val="33"/>
  </w:num>
  <w:num w:numId="31">
    <w:abstractNumId w:val="11"/>
  </w:num>
  <w:num w:numId="32">
    <w:abstractNumId w:val="31"/>
  </w:num>
  <w:num w:numId="33">
    <w:abstractNumId w:val="18"/>
  </w:num>
  <w:num w:numId="34">
    <w:abstractNumId w:val="21"/>
  </w:num>
  <w:num w:numId="35">
    <w:abstractNumId w:val="25"/>
  </w:num>
  <w:num w:numId="36">
    <w:abstractNumId w:val="13"/>
  </w:num>
  <w:num w:numId="37">
    <w:abstractNumId w:val="40"/>
  </w:num>
  <w:num w:numId="38">
    <w:abstractNumId w:val="0"/>
  </w:num>
  <w:num w:numId="39">
    <w:abstractNumId w:val="16"/>
  </w:num>
  <w:num w:numId="40">
    <w:abstractNumId w:val="28"/>
  </w:num>
  <w:num w:numId="41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282F"/>
    <w:rsid w:val="0000481B"/>
    <w:rsid w:val="00005524"/>
    <w:rsid w:val="00005ADD"/>
    <w:rsid w:val="0001301B"/>
    <w:rsid w:val="00014001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A4CC8"/>
    <w:rsid w:val="000B02E6"/>
    <w:rsid w:val="000B7597"/>
    <w:rsid w:val="000C26DE"/>
    <w:rsid w:val="000C4FC8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4424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256B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4B2C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4F3"/>
    <w:rsid w:val="003D6B4C"/>
    <w:rsid w:val="003E01BE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3E6B"/>
    <w:rsid w:val="00536327"/>
    <w:rsid w:val="005371C7"/>
    <w:rsid w:val="0054244A"/>
    <w:rsid w:val="00546371"/>
    <w:rsid w:val="00547685"/>
    <w:rsid w:val="0055078B"/>
    <w:rsid w:val="00560C27"/>
    <w:rsid w:val="00562CB7"/>
    <w:rsid w:val="00566AA9"/>
    <w:rsid w:val="00570245"/>
    <w:rsid w:val="0057047E"/>
    <w:rsid w:val="0057056E"/>
    <w:rsid w:val="005743D6"/>
    <w:rsid w:val="00580228"/>
    <w:rsid w:val="00581156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246B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55BB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0138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B7B12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4BF9"/>
    <w:rsid w:val="00836D99"/>
    <w:rsid w:val="00841F15"/>
    <w:rsid w:val="00843AB9"/>
    <w:rsid w:val="00850E3C"/>
    <w:rsid w:val="00851458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126D"/>
    <w:rsid w:val="008A7027"/>
    <w:rsid w:val="008B0701"/>
    <w:rsid w:val="008B31BA"/>
    <w:rsid w:val="008B4C0F"/>
    <w:rsid w:val="008B5D8D"/>
    <w:rsid w:val="008B6788"/>
    <w:rsid w:val="008C4DAA"/>
    <w:rsid w:val="008D20E9"/>
    <w:rsid w:val="008D3232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356C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3E6B"/>
    <w:rsid w:val="00A673D2"/>
    <w:rsid w:val="00A7028D"/>
    <w:rsid w:val="00A7060C"/>
    <w:rsid w:val="00A75AFC"/>
    <w:rsid w:val="00A80A57"/>
    <w:rsid w:val="00A8289D"/>
    <w:rsid w:val="00A8451E"/>
    <w:rsid w:val="00A84C0F"/>
    <w:rsid w:val="00A8700C"/>
    <w:rsid w:val="00A87935"/>
    <w:rsid w:val="00A91342"/>
    <w:rsid w:val="00A919C9"/>
    <w:rsid w:val="00AA2F0D"/>
    <w:rsid w:val="00AA71CD"/>
    <w:rsid w:val="00AB35F5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A77E3"/>
    <w:rsid w:val="00BB0A2B"/>
    <w:rsid w:val="00BB1587"/>
    <w:rsid w:val="00BB24A3"/>
    <w:rsid w:val="00BB3877"/>
    <w:rsid w:val="00BC1662"/>
    <w:rsid w:val="00BC7589"/>
    <w:rsid w:val="00BD4598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441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2362"/>
    <w:rsid w:val="00D078D0"/>
    <w:rsid w:val="00D1449A"/>
    <w:rsid w:val="00D14A26"/>
    <w:rsid w:val="00D1768A"/>
    <w:rsid w:val="00D35DB7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42ECD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42DC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60A41C6"/>
  <w15:docId w15:val="{3C42D4C4-580B-44A3-9CB4-B0744F49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27828"/>
  </w:style>
  <w:style w:type="paragraph" w:styleId="a6">
    <w:name w:val="footer"/>
    <w:basedOn w:val="a0"/>
    <w:link w:val="a7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27828"/>
  </w:style>
  <w:style w:type="paragraph" w:styleId="a8">
    <w:name w:val="Balloon Text"/>
    <w:basedOn w:val="a0"/>
    <w:link w:val="a9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0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0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a">
    <w:name w:val="Table Grid"/>
    <w:basedOn w:val="a2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No Spacing"/>
    <w:link w:val="ac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d">
    <w:name w:val="List Paragraph"/>
    <w:aliases w:val="Табичный текст,Булет 1,Bullet List,numbered,FooterText,Bullet Number,Нумерованый список,List Paragraph1,lp1,lp11,List Paragraph11,Bullet 1,Use Case List Paragraph,Paragraphe de liste1,главный абзац,SL_Абзац списка"/>
    <w:basedOn w:val="a0"/>
    <w:link w:val="ae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f">
    <w:name w:val="footnote reference"/>
    <w:uiPriority w:val="99"/>
    <w:rsid w:val="00C36F23"/>
    <w:rPr>
      <w:vertAlign w:val="superscript"/>
    </w:rPr>
  </w:style>
  <w:style w:type="paragraph" w:styleId="af0">
    <w:name w:val="footnote text"/>
    <w:basedOn w:val="a0"/>
    <w:link w:val="af1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1">
    <w:name w:val="Текст сноски Знак"/>
    <w:link w:val="af0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2">
    <w:name w:val="endnote text"/>
    <w:basedOn w:val="a0"/>
    <w:link w:val="af3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semiHidden/>
    <w:rsid w:val="0076721D"/>
    <w:rPr>
      <w:sz w:val="20"/>
      <w:szCs w:val="20"/>
    </w:rPr>
  </w:style>
  <w:style w:type="character" w:styleId="af4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0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5">
    <w:name w:val="caption"/>
    <w:basedOn w:val="a0"/>
    <w:next w:val="a0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0"/>
    <w:next w:val="a0"/>
    <w:link w:val="af6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6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7">
    <w:name w:val="Subtitle"/>
    <w:basedOn w:val="a0"/>
    <w:next w:val="a0"/>
    <w:link w:val="af8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8">
    <w:name w:val="Подзаголовок Знак"/>
    <w:link w:val="af7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FE1D8B"/>
    <w:rPr>
      <w:b/>
      <w:bCs/>
    </w:rPr>
  </w:style>
  <w:style w:type="character" w:styleId="afa">
    <w:name w:val="Emphasis"/>
    <w:uiPriority w:val="20"/>
    <w:qFormat/>
    <w:rsid w:val="00FE1D8B"/>
    <w:rPr>
      <w:i/>
      <w:iCs/>
    </w:rPr>
  </w:style>
  <w:style w:type="paragraph" w:styleId="21">
    <w:name w:val="Quote"/>
    <w:basedOn w:val="a0"/>
    <w:next w:val="a0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b">
    <w:name w:val="Intense Quote"/>
    <w:basedOn w:val="a0"/>
    <w:next w:val="a0"/>
    <w:link w:val="afc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c">
    <w:name w:val="Выделенная цитата Знак"/>
    <w:link w:val="afb"/>
    <w:uiPriority w:val="30"/>
    <w:rsid w:val="00FE1D8B"/>
    <w:rPr>
      <w:b/>
      <w:bCs/>
      <w:i/>
      <w:iCs/>
      <w:color w:val="4F81BD"/>
    </w:rPr>
  </w:style>
  <w:style w:type="character" w:styleId="afd">
    <w:name w:val="Subtle Emphasis"/>
    <w:uiPriority w:val="19"/>
    <w:qFormat/>
    <w:rsid w:val="00FE1D8B"/>
    <w:rPr>
      <w:i/>
      <w:iCs/>
      <w:color w:val="808080"/>
    </w:rPr>
  </w:style>
  <w:style w:type="character" w:styleId="afe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FE1D8B"/>
    <w:rPr>
      <w:b/>
      <w:bCs/>
      <w:smallCaps/>
      <w:spacing w:val="5"/>
    </w:rPr>
  </w:style>
  <w:style w:type="paragraph" w:styleId="aff2">
    <w:name w:val="TOC Heading"/>
    <w:basedOn w:val="1"/>
    <w:next w:val="a0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2"/>
    <w:next w:val="aa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5">
    <w:name w:val="Текст примечания Знак"/>
    <w:link w:val="aff4"/>
    <w:uiPriority w:val="99"/>
    <w:semiHidden/>
    <w:rsid w:val="007543D7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7543D7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7543D7"/>
    <w:rPr>
      <w:b/>
      <w:bCs/>
      <w:sz w:val="20"/>
      <w:szCs w:val="20"/>
    </w:rPr>
  </w:style>
  <w:style w:type="character" w:styleId="aff8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0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9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e">
    <w:name w:val="Абзац списка Знак"/>
    <w:aliases w:val="Табичный текст Знак,Булет 1 Знак,Bullet List Знак,numbered Знак,FooterText Знак,Bullet Number Знак,Нумерованый список Знак,List Paragraph1 Знак,lp1 Знак,lp11 Знак,List Paragraph11 Знак,Bullet 1 Знак,Use Case List Paragraph Знак"/>
    <w:link w:val="ad"/>
    <w:uiPriority w:val="34"/>
    <w:locked/>
    <w:rsid w:val="00167EF7"/>
    <w:rPr>
      <w:sz w:val="22"/>
      <w:szCs w:val="22"/>
    </w:rPr>
  </w:style>
  <w:style w:type="character" w:customStyle="1" w:styleId="ac">
    <w:name w:val="Без интервала Знак"/>
    <w:link w:val="ab"/>
    <w:uiPriority w:val="1"/>
    <w:rsid w:val="00B00D1B"/>
    <w:rPr>
      <w:sz w:val="22"/>
      <w:szCs w:val="22"/>
    </w:rPr>
  </w:style>
  <w:style w:type="character" w:styleId="affa">
    <w:name w:val="Hyperlink"/>
    <w:basedOn w:val="a1"/>
    <w:uiPriority w:val="99"/>
    <w:unhideWhenUsed/>
    <w:rsid w:val="00581156"/>
    <w:rPr>
      <w:color w:val="0563C1" w:themeColor="hyperlink"/>
      <w:u w:val="single"/>
    </w:rPr>
  </w:style>
  <w:style w:type="paragraph" w:customStyle="1" w:styleId="a">
    <w:name w:val="_Список_марк"/>
    <w:link w:val="affb"/>
    <w:uiPriority w:val="99"/>
    <w:rsid w:val="00581156"/>
    <w:pPr>
      <w:numPr>
        <w:numId w:val="40"/>
      </w:num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fb">
    <w:name w:val="_Список_марк Знак"/>
    <w:link w:val="a"/>
    <w:uiPriority w:val="99"/>
    <w:rsid w:val="0058115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rosatom.ru/sm/index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4A30E22-35FF-480F-93DE-7904D7B5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23</cp:revision>
  <cp:lastPrinted>2015-05-07T09:15:00Z</cp:lastPrinted>
  <dcterms:created xsi:type="dcterms:W3CDTF">2020-09-03T11:46:00Z</dcterms:created>
  <dcterms:modified xsi:type="dcterms:W3CDTF">2022-11-09T18:31:00Z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