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9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629"/>
        <w:gridCol w:w="236"/>
        <w:gridCol w:w="1599"/>
        <w:gridCol w:w="1749"/>
        <w:gridCol w:w="444"/>
        <w:gridCol w:w="393"/>
        <w:gridCol w:w="283"/>
        <w:gridCol w:w="1800"/>
      </w:tblGrid>
      <w:tr w:rsidR="00CC3999" w:rsidRPr="00E308B8" w:rsidTr="00E92B62">
        <w:trPr>
          <w:gridAfter w:val="1"/>
          <w:wAfter w:w="1800" w:type="dxa"/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C3999" w:rsidRPr="00E308B8" w:rsidRDefault="00CC3999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C3999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CC3999" w:rsidRPr="00AA71CD" w:rsidRDefault="00CC3999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337DF48C" wp14:editId="021B79D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31D5AC2" wp14:editId="482FACC7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CC3999" w:rsidRDefault="00CC3999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CC3999" w:rsidRPr="00795474" w:rsidRDefault="00CC3999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COM.54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CC3999" w:rsidRPr="00AA71CD" w:rsidRDefault="00CC3999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D2E6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Оказание услуг поддержки системы защищенной видео-конференц-связи и обеспечения подключения абонентских пунктов</w:t>
                  </w:r>
                </w:p>
              </w:tc>
            </w:tr>
          </w:tbl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2646EC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обеспечивает поддержку оборудования и программного обеспечения серверного узла системы защищенной видео-конференц-связи</w:t>
            </w:r>
            <w:r w:rsidRPr="008D2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Госкорпорации </w:t>
            </w:r>
            <w:r w:rsidRPr="008D2E6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Росатом</w:t>
            </w:r>
            <w:r w:rsidRPr="008D2E6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 Услуга обеспечивает возможность подключения абонентских пунктов заказчиков к системе защищенной видео-конференц-связи (ЗВКС-К).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C3999" w:rsidRPr="00322088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322088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043937" wp14:editId="0513D48B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150495</wp:posOffset>
                      </wp:positionV>
                      <wp:extent cx="584835" cy="270510"/>
                      <wp:effectExtent l="0" t="0" r="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999" w:rsidRPr="00010BC8" w:rsidRDefault="00CC3999" w:rsidP="00CC399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200" w:line="276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39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-25.35pt;margin-top:11.85pt;width:46.0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" filled="f" stroked="f">
                      <v:textbox>
                        <w:txbxContent>
                          <w:p w:rsidR="00CC3999" w:rsidRPr="00010BC8" w:rsidRDefault="00CC3999" w:rsidP="00CC3999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CC3999" w:rsidRPr="00383140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3999" w:rsidRPr="0034121E" w:rsidRDefault="00CC3999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21E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4121E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34121E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3412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подключение с помощью терминального оборудования</w:t>
            </w:r>
          </w:p>
          <w:p w:rsidR="00CC3999" w:rsidRPr="0034121E" w:rsidRDefault="00CC3999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4121E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</w:t>
            </w:r>
            <w:r>
              <w:rPr>
                <w:rFonts w:ascii="Times New Roman" w:hAnsi="Times New Roman"/>
                <w:sz w:val="24"/>
                <w:szCs w:val="24"/>
              </w:rPr>
              <w:t>их обращений от пользователей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4B3BFA" w:rsidRDefault="00CC3999" w:rsidP="00E92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FA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056A29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Осуществление контроля работоспособности оборудования и программного обеспечения серверного узла защищенной системы ЗВКС-К;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технической возможности подключения абонентских пунктов к сеансам ЗВКС-К;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бесперебойной работы оборудования и программного обеспечения серверного узла ЗВКС-К, устранение причин отказов, взаимодействие с представителями технической поддержки интегратора/производителя серверного узла ЗВКС-К (исключая предоставление запасных частей или элементов инфраструктуры взамен неисправных);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подключения двухсторонней конференции;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подключения многосторонней конференции без поддержки со стороны оператора;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CC1A6F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подключения многосторонней конференции с поддержкой со стороны Оператора;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B7541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трансляции контента;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Подготовка актуальных инструкций по использованию защищенной системы ЗВКС-К;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Выполнение необходимых регламентных работ, связанных с обслуживанием элементов инфраструктуры серверного узла ЗВКС-К (исключая оконечное терминальное оборудование);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записи сеансов видеотрансляции по запросу Заказчика;</w:t>
            </w:r>
          </w:p>
          <w:p w:rsidR="00CC3999" w:rsidRPr="004F54AC" w:rsidRDefault="00CC3999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CC1A6F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Осуществление сбора конференций, планирование и резервирование ресурсов системы.</w:t>
            </w:r>
          </w:p>
          <w:p w:rsidR="00CC3999" w:rsidRDefault="00CC3999" w:rsidP="00E92B62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Times New Roman" w:hAnsi="Times New Roman"/>
                <w:sz w:val="24"/>
                <w:szCs w:val="24"/>
              </w:rPr>
              <w:t>В многосторонних конференциях с поддержкой Оператора:</w:t>
            </w:r>
          </w:p>
          <w:p w:rsidR="00CC3999" w:rsidRPr="004F54AC" w:rsidRDefault="00CC3999" w:rsidP="00E92B62">
            <w:pPr>
              <w:spacing w:line="240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−</w:t>
            </w: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Обеспечение набора номера конференции;</w:t>
            </w:r>
          </w:p>
          <w:p w:rsidR="00CC3999" w:rsidRPr="004F54AC" w:rsidRDefault="00CC3999" w:rsidP="00E92B62">
            <w:pPr>
              <w:spacing w:line="240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−</w:t>
            </w: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Автоматический вызов серверного узла;</w:t>
            </w:r>
          </w:p>
          <w:p w:rsidR="00CC3999" w:rsidRPr="004F54AC" w:rsidRDefault="00CC3999" w:rsidP="00E92B62">
            <w:pPr>
              <w:spacing w:line="240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−</w:t>
            </w:r>
            <w:r w:rsidRPr="00CC1A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Подключение к конференции абонентских пунктов участников;</w:t>
            </w:r>
          </w:p>
          <w:p w:rsidR="00CC3999" w:rsidRPr="004F54AC" w:rsidRDefault="00CC3999" w:rsidP="00E92B62">
            <w:pPr>
              <w:spacing w:line="240" w:lineRule="auto"/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056A2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−</w:t>
            </w:r>
            <w:r w:rsidRPr="00056A29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Перевод абонентского пункта участника из одной конференции в другую;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49043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2A6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0B7F4E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0B7F4E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В рамках услуги не осуществляется поддержка Абонентских пунктов Заказчика и предприятий отрасли, которые подключаются к серверному узлу ЗВКС-К.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Максимальное количество подключаемых абонентских устройств к серверному узлу ЗВКС-К определяется ограничениями аппаратной и лицензионной частей систем Заказчика.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253D05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253D05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Организатор конференций самостоятельно рассылает приглашения участникам конференций, отвечает за распространение записи мероприятий, регулирует включение и выключение микрофонов и камер участников, за трансляцию контента в односторонних и многосторонних конференциях без поддержки Оператора.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953A70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953A70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Включение и проверка абонентских пунктов перед началом конференций зона ответственности Организатора конференций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EA76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EA76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Обращения с датой проведения мероприятия, выходящей за пределы срока исполнения обращений приостанавливаются с причиной приостановки «Ожидается дата проведения мероприятия»</w:t>
            </w:r>
          </w:p>
          <w:p w:rsidR="00CC3999" w:rsidRPr="004413FA" w:rsidRDefault="00CC3999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роектную рабочую, эксплуатационную документацию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серверный узел ЗВКС-К, </w:t>
            </w: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Описание проектных решений.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Сертификаты, аттестаты соответствия, технические условия эксплуатации (при наличии, например, в случае аттестации ФСБ России), заказчик должен обеспечить поддержку сертификатов и аттестатов соответствия в актуальном состоянии.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Инструкции по эксплуатации систем и терминальных устройств (при наличии).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 xml:space="preserve">Действующую эксплуатационную документацию, содержащую актуальную информацию на момент передачи 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Регламент подготовки и проведения аудио- и видео-конференций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сети, программному и аппаратному обеспечению.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B51FC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</w:p>
          <w:p w:rsidR="00CC3999" w:rsidRPr="004F54AC" w:rsidRDefault="00CC3999" w:rsidP="00E92B62">
            <w:pPr>
              <w:spacing w:line="240" w:lineRule="auto"/>
              <w:ind w:left="493" w:hanging="425"/>
              <w:rPr>
                <w:rFonts w:ascii="Times New Roman" w:hAnsi="Times New Roman"/>
                <w:sz w:val="24"/>
                <w:szCs w:val="24"/>
              </w:rPr>
            </w:pPr>
            <w:r w:rsidRPr="008D32B5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8D32B5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4F54AC">
              <w:rPr>
                <w:rFonts w:ascii="Times New Roman" w:hAnsi="Times New Roman"/>
                <w:sz w:val="24"/>
                <w:szCs w:val="24"/>
              </w:rPr>
              <w:t>Доступ к системе управления, мониторинга (при наличии), с соответствующими идентификаторами доступа с полномочиями «администратора»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360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676" w:type="dxa"/>
            <w:gridSpan w:val="2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trHeight w:val="36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CC3999" w:rsidRPr="0063519C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Норматив, ПРМ</w:t>
            </w: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C3999" w:rsidRPr="000B02E6" w:rsidRDefault="00CC3999" w:rsidP="00E92B62">
            <w:pPr>
              <w:spacing w:after="0" w:line="240" w:lineRule="auto"/>
            </w:pPr>
          </w:p>
        </w:tc>
      </w:tr>
      <w:tr w:rsidR="00CC3999" w:rsidRPr="000B02E6" w:rsidTr="00E92B62">
        <w:trPr>
          <w:gridAfter w:val="1"/>
          <w:wAfter w:w="1800" w:type="dxa"/>
          <w:trHeight w:val="129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D0D0D"/>
              <w:left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 xml:space="preserve">Поддержка подключения к серверному узлу с </w:t>
            </w:r>
            <w:r>
              <w:rPr>
                <w:rFonts w:ascii="Times New Roman" w:hAnsi="Times New Roman"/>
                <w:sz w:val="20"/>
                <w:szCs w:val="20"/>
              </w:rPr>
              <w:t>одним</w:t>
            </w:r>
            <w:r w:rsidRPr="00635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абонентским пунктом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99" w:rsidRPr="00593CEE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593CEE">
              <w:rPr>
                <w:rFonts w:ascii="Times New Roman" w:hAnsi="Times New Roman"/>
                <w:sz w:val="20"/>
                <w:szCs w:val="20"/>
              </w:rPr>
              <w:t>0,009005177</w:t>
            </w:r>
          </w:p>
        </w:tc>
        <w:tc>
          <w:tcPr>
            <w:tcW w:w="6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0B02E6" w:rsidTr="00E92B62">
        <w:trPr>
          <w:gridAfter w:val="1"/>
          <w:wAfter w:w="1800" w:type="dxa"/>
          <w:trHeight w:val="12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99" w:rsidRPr="00593CEE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593CEE">
              <w:rPr>
                <w:rFonts w:ascii="Times New Roman" w:hAnsi="Times New Roman"/>
                <w:sz w:val="20"/>
                <w:szCs w:val="20"/>
              </w:rPr>
              <w:t>0,065747346</w:t>
            </w: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12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>К3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99" w:rsidRPr="00593CEE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593CEE">
              <w:rPr>
                <w:rFonts w:ascii="Times New Roman" w:hAnsi="Times New Roman"/>
                <w:sz w:val="20"/>
                <w:szCs w:val="20"/>
              </w:rPr>
              <w:t>0,067077111</w:t>
            </w: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12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>К3 Саров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99" w:rsidRPr="00593CEE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593CEE">
              <w:rPr>
                <w:rFonts w:ascii="Times New Roman" w:hAnsi="Times New Roman"/>
                <w:sz w:val="20"/>
                <w:szCs w:val="20"/>
              </w:rPr>
              <w:t>0,029858014</w:t>
            </w: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35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 xml:space="preserve">Поддержка одного дополнительного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абонентского пункта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63519C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593CEE">
              <w:rPr>
                <w:rFonts w:ascii="Times New Roman" w:hAnsi="Times New Roman"/>
                <w:sz w:val="20"/>
                <w:szCs w:val="20"/>
              </w:rPr>
              <w:t>0,027931690</w:t>
            </w: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3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BF7F86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Настройка подключения абонентского пункта к серверному узлу ЗВКС-К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63519C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999" w:rsidRPr="00593CEE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0,42</w:t>
            </w:r>
          </w:p>
        </w:tc>
        <w:tc>
          <w:tcPr>
            <w:tcW w:w="6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3999" w:rsidRPr="00E2680A" w:rsidRDefault="00CC3999" w:rsidP="00E92B6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7E561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3999" w:rsidRPr="00A9010F" w:rsidTr="00E92B62">
        <w:trPr>
          <w:gridAfter w:val="1"/>
          <w:wAfter w:w="1800" w:type="dxa"/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3999" w:rsidRPr="00F85D21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676" w:type="dxa"/>
            <w:gridSpan w:val="2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999" w:rsidRPr="00BB1FCE" w:rsidRDefault="00CC3999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E561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E561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7E5618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999" w:rsidRPr="000B02E6" w:rsidTr="00E92B62">
        <w:trPr>
          <w:gridAfter w:val="1"/>
          <w:wAfter w:w="1800" w:type="dxa"/>
          <w:trHeight w:val="20"/>
        </w:trPr>
        <w:tc>
          <w:tcPr>
            <w:tcW w:w="11109" w:type="dxa"/>
            <w:gridSpan w:val="11"/>
            <w:shd w:val="clear" w:color="auto" w:fill="auto"/>
            <w:noWrap/>
            <w:vAlign w:val="center"/>
          </w:tcPr>
          <w:p w:rsidR="00CC3999" w:rsidRPr="000B02E6" w:rsidRDefault="00CC3999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CC3999" w:rsidRDefault="00FD6287" w:rsidP="00CC3999">
      <w:bookmarkStart w:id="0" w:name="_GoBack"/>
      <w:bookmarkEnd w:id="0"/>
    </w:p>
    <w:sectPr w:rsidR="00FD6287" w:rsidRPr="00CC3999" w:rsidSect="00CC3999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942"/>
    <w:multiLevelType w:val="hybridMultilevel"/>
    <w:tmpl w:val="97344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99"/>
    <w:rsid w:val="00CC3999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0FC72-A67C-4203-A8E9-334E0EE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2023-11-07T14:26:00Z</dcterms:created>
  <dcterms:modified xsi:type="dcterms:W3CDTF">2023-11-07T14:26:00Z</dcterms:modified>
</cp:coreProperties>
</file>