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диагностирования неисправности и идентификации компонента, требующего замены;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 случае отсутствия у Заказчика действующего договора на поддержку оборудования у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договоров на обслуживание программного обеспечения и оборудования, контакты поставщиков услуг поддержки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прав на использование ПО (лицензии)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Список элементов системы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Тип системы резервного копирования и восстановления: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Сервера (Виртуальные/Физические):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Ленточные библиотеки;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Количество лицензий.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Описание выполняемых функций.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Место установки серверной части: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IP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Название предприятия-заказчика;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Проектную рабочую, эксплуатационную документацию на систему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Описание проектных решений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Состав и местонахождение ЗИП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Сертификаты, аттестаты соответствия, технические условия эксплуатации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Стандарты и политики, определяющие требования к системе резервирования данных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Корректировка рабочей документации, эксплуатационной документации, внесение изменений в КЕ производится при при их наличии.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Резервное копирование конфигураций оборудования СКР производится при наличии конфигурации СКР.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43D2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