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21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корпоративной почтовой системы Почта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EC7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 пользователям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обмена сообщениями электронной почты с внутренними и внешними адресатами, хранение сообщений в почтовых ящиках, совместный доступ к календарям и задачам, доступ к единой отраслевой адресной книге.В рамках услуги пользователю предоставляется персональный почтовый ящик с защитой от спама, вирусов и целевых атак, дополнительно могут быть подключены общий почтовый ящик или ящик переговорной.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Также предоставляются опциональные сервисы: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Дополнительный объем для увеличения квоты почтового ящика свыше типовых значений.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Защищенный удаленный веб-доступ в почтовый ящик из Интернет через веб-браузер.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Защита от спама, вирусов и целевых атак пользователей локальных почтовых систем.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SMTP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t>-транспорт для отправки уведомлений из информационных систем или устройств.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работоспособности прикладного программного обеспечения корпоративной почтовой системы Почта 2.0, размещенной в центре обработки данных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21EC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EC7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Первичный анализ листов исполнения 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персональных почтовых ящиков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общих почтовых ящиков, переговорных комнат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внешних контактов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 групп рассылок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квот почтовых ящиков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атрибутов почтовых ящиков, внешних контактов, групп рассылки и других объектов почтовой системы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на почтовые ящики и другие объекты почтовой системы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Назначение, отзыв прав удаленного доступа в почтовые ящики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почтовых ящиков из резервной копии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маршрутизации почты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защиты от спама и вирусов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защиты от целевых атак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фильтрации по типу вложений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«белых» и «черных» списков отправителей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приема и отправки сообщений по протоколу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SMTP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конфигурации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изменений конфигурации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исходного состояния конфигурации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установленного списка регламентных мероприятий по программному обеспечению в соответствии с планом: просмотр и анализ сообщений журналов, установка программных обновлений, периодический перезапуск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Описание не устранённых неисправностей и временных (обходных) решений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621EC7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удаление, разграничение прав доступа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21EC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21EC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Максимальное количество обращений пользователей в день,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5% от общего количества пользователей организации.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подключения к почтовому серверу Заказчик должен приобрести клиентскую лицензию на каждого пользователя услуги и предоставить информацию о лицензии Исполнителю.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корпоративной почтовой системе Почта 2.0».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корпоративной почтовой системе Почта 2.0».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ограничения: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Размеры типовых квот почтовых ящиков и другие ограничения (лимиты) приведены в документе «Технологические ограничения корпоративной почтовой системы Почта 2.0».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Дополнительный объем предоставляется только для почтовых ящиков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» пакетами по 10 Гб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почтовых ящиков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Lite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» обмен сообщениями с внешними почтовыми ящиками ограничен и сервис защиты от спама, вирусов и целевых атак не предоставляется.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почтовых ящиков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Lite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» восстановление данных из резервной копии по запросам пользователей не выполняется.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сервису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SMTP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-транспорт» предоставляется только для информационных систем и устройств, поддерживающих протокол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SMTP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расположенных в КСПД.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сервису защиты от спама, вирусов и целевых атак без создания почтового ящика предоставляется только для пользователей локальных почтовых систем, расположенных в КСПД.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работе сервиса защиты от спама, вирусов и целевых атак возможны единичные пропуски нежелательных сообщений и единичные блокировки безопасных сообщений в результате ложных срабатываний.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Доступность сервиса не гарантируется при подключении: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 АРМ, на которых не выполняются требования, предусмотренные документом «Технические условия подключения к корпоративной почтовой системе Почта 2.0».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При использовании Заказчиком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DLP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-системы, установленной по схеме «в разрыв», отправка писем внешним получателям не гарантируется.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дополнительного почтового ящика (общего, переговорной) выполняется только при наличии у пользователя основного почтового ящика.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пользователя.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21EC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(СКЗИ на АРМ не требуется)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(СКЗИ на АРМ требуется только для работы с шифрованной почтой)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Информационная система или устройство в КСПД (для доступа к сервису «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SMTP</w:t>
            </w:r>
            <w:r w:rsidRPr="00621EC7">
              <w:rPr>
                <w:rFonts w:ascii="Times New Roman" w:hAnsi="Times New Roman" w:cs="Times New Roman"/>
                <w:bCs/>
                <w:sz w:val="24"/>
                <w:szCs w:val="24"/>
              </w:rPr>
              <w:t>-транспорт»)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EC7">
              <w:rPr>
                <w:rFonts w:ascii="Times New Roman" w:hAnsi="Times New Roman" w:cs="Times New Roman"/>
                <w:sz w:val="24"/>
              </w:rPr>
              <w:t>Портал Госкорпорации «Росатом» Путь: Раздел «Информационные технологии» → «Инструкции» → «Почта и связь» → «Корпоративная почта (Почта 2.0)»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21EC7"/>
    <w:rsid w:val="006D7F1C"/>
    <w:rsid w:val="0072752F"/>
    <w:rsid w:val="00780B2F"/>
    <w:rsid w:val="00962DED"/>
    <w:rsid w:val="00983383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