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559"/>
        <w:gridCol w:w="363"/>
        <w:gridCol w:w="285"/>
        <w:gridCol w:w="236"/>
        <w:gridCol w:w="3234"/>
        <w:gridCol w:w="902"/>
        <w:gridCol w:w="283"/>
      </w:tblGrid>
      <w:tr w:rsidR="006F6D4B" w:rsidRPr="00E308B8" w:rsidTr="002B2F69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6F6D4B" w:rsidRPr="00E308B8" w:rsidRDefault="006F6D4B" w:rsidP="002B2F6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4"/>
            <w:shd w:val="clear" w:color="auto" w:fill="auto"/>
            <w:vAlign w:val="bottom"/>
          </w:tcPr>
          <w:p w:rsidR="006F6D4B" w:rsidRPr="00E308B8" w:rsidRDefault="006F6D4B" w:rsidP="002B2F6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5" w:type="dxa"/>
            <w:shd w:val="clear" w:color="auto" w:fill="auto"/>
            <w:vAlign w:val="bottom"/>
          </w:tcPr>
          <w:p w:rsidR="006F6D4B" w:rsidRPr="00E308B8" w:rsidRDefault="006F6D4B" w:rsidP="002B2F6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6F6D4B" w:rsidRPr="00E308B8" w:rsidRDefault="006F6D4B" w:rsidP="002B2F6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234" w:type="dxa"/>
            <w:shd w:val="clear" w:color="auto" w:fill="auto"/>
            <w:vAlign w:val="bottom"/>
          </w:tcPr>
          <w:p w:rsidR="006F6D4B" w:rsidRPr="00E308B8" w:rsidRDefault="006F6D4B" w:rsidP="002B2F6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auto"/>
            <w:vAlign w:val="bottom"/>
          </w:tcPr>
          <w:p w:rsidR="006F6D4B" w:rsidRPr="00E308B8" w:rsidRDefault="006F6D4B" w:rsidP="002B2F6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6F6D4B" w:rsidRPr="00E308B8" w:rsidRDefault="006F6D4B" w:rsidP="002B2F6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6F6D4B" w:rsidRPr="000B02E6" w:rsidTr="002B2F69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6F6D4B" w:rsidRPr="00AA71CD" w:rsidTr="002B2F69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6F6D4B" w:rsidRPr="00AA71CD" w:rsidRDefault="006F6D4B" w:rsidP="002B2F69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1" locked="0" layoutInCell="1" allowOverlap="1" wp14:anchorId="2F733380" wp14:editId="718B7A6E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EE4D25D" wp14:editId="7B66EBC2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6F6D4B" w:rsidRDefault="006F6D4B" w:rsidP="002B2F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6F6D4B" w:rsidRPr="00306988" w:rsidRDefault="006F6D4B" w:rsidP="002B2F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6159C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CBA.133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6F6D4B" w:rsidRPr="00AA71CD" w:rsidRDefault="006F6D4B" w:rsidP="002B2F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62416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Предоставление доступа и поддержка Системы развития кадрового потенциала «РЕКОРД (импортонезависимая)»</w:t>
                  </w:r>
                </w:p>
              </w:tc>
            </w:tr>
          </w:tbl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F6D4B" w:rsidRPr="000B02E6" w:rsidTr="002B2F69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6F6D4B" w:rsidRPr="00390A67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  <w:r w:rsidRPr="00390A67">
              <w:rPr>
                <w:rFonts w:ascii="Times New Roman" w:hAnsi="Times New Roman"/>
              </w:rPr>
              <w:t xml:space="preserve">Услуга обеспечивает доступ к </w:t>
            </w:r>
            <w:r w:rsidRPr="00390A67">
              <w:rPr>
                <w:rFonts w:ascii="Times New Roman" w:hAnsi="Times New Roman"/>
                <w:bCs/>
              </w:rPr>
              <w:t>Системе развития кадрового потенциала «РЕКОРД (импортонезависимая)» и поддержку её функционала</w:t>
            </w:r>
            <w:r w:rsidRPr="00390A67">
              <w:rPr>
                <w:rFonts w:ascii="Times New Roman" w:hAnsi="Times New Roman"/>
              </w:rPr>
              <w:t>.</w:t>
            </w:r>
          </w:p>
          <w:p w:rsidR="006F6D4B" w:rsidRPr="00390A67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  <w:r w:rsidRPr="00390A67">
              <w:rPr>
                <w:rFonts w:ascii="Times New Roman" w:hAnsi="Times New Roman"/>
                <w:bCs/>
              </w:rPr>
              <w:t>Система развития кадрового потенциала «РЕКОРД (импортонезависимая)» включает в себя</w:t>
            </w:r>
            <w:r w:rsidRPr="00390A67">
              <w:rPr>
                <w:rFonts w:ascii="Times New Roman" w:hAnsi="Times New Roman"/>
              </w:rPr>
              <w:t>:</w:t>
            </w:r>
          </w:p>
          <w:p w:rsidR="006F6D4B" w:rsidRPr="0003120C" w:rsidRDefault="006F6D4B" w:rsidP="002B2F69">
            <w:pPr>
              <w:spacing w:after="0" w:line="240" w:lineRule="auto"/>
              <w:ind w:left="720" w:hanging="360"/>
              <w:rPr>
                <w:rFonts w:ascii="Times New Roman" w:hAnsi="Times New Roman"/>
              </w:rPr>
            </w:pPr>
            <w:r w:rsidRPr="00390A67">
              <w:rPr>
                <w:rFonts w:ascii="Symbol" w:hAnsi="Symbol"/>
                <w:lang w:val="x-none" w:eastAsia="x-none"/>
              </w:rPr>
              <w:t></w:t>
            </w:r>
            <w:r w:rsidRPr="00390A67">
              <w:rPr>
                <w:rFonts w:ascii="Symbol" w:hAnsi="Symbol"/>
                <w:lang w:val="x-none" w:eastAsia="x-none"/>
              </w:rPr>
              <w:tab/>
            </w:r>
            <w:r w:rsidRPr="0003120C">
              <w:rPr>
                <w:rFonts w:ascii="Times New Roman" w:hAnsi="Times New Roman"/>
              </w:rPr>
              <w:t>Базовый модуль;</w:t>
            </w:r>
          </w:p>
          <w:p w:rsidR="006F6D4B" w:rsidRPr="0003120C" w:rsidRDefault="006F6D4B" w:rsidP="002B2F69">
            <w:pPr>
              <w:spacing w:after="0" w:line="240" w:lineRule="auto"/>
              <w:ind w:left="720" w:hanging="360"/>
              <w:rPr>
                <w:rFonts w:ascii="Times New Roman" w:hAnsi="Times New Roman"/>
              </w:rPr>
            </w:pPr>
            <w:r w:rsidRPr="00390A67">
              <w:rPr>
                <w:rFonts w:ascii="Symbol" w:hAnsi="Symbol"/>
                <w:lang w:val="x-none" w:eastAsia="x-none"/>
              </w:rPr>
              <w:t></w:t>
            </w:r>
            <w:r w:rsidRPr="00390A67">
              <w:rPr>
                <w:rFonts w:ascii="Symbol" w:hAnsi="Symbol"/>
                <w:lang w:val="x-none" w:eastAsia="x-none"/>
              </w:rPr>
              <w:tab/>
            </w:r>
            <w:r w:rsidRPr="0003120C">
              <w:rPr>
                <w:rFonts w:ascii="Times New Roman" w:hAnsi="Times New Roman"/>
              </w:rPr>
              <w:t>Управление эффективностью деятельности;</w:t>
            </w:r>
          </w:p>
          <w:p w:rsidR="006F6D4B" w:rsidRPr="0003120C" w:rsidRDefault="006F6D4B" w:rsidP="002B2F69">
            <w:pPr>
              <w:spacing w:after="0" w:line="240" w:lineRule="auto"/>
              <w:ind w:left="720" w:hanging="360"/>
              <w:rPr>
                <w:rFonts w:ascii="Times New Roman" w:hAnsi="Times New Roman"/>
              </w:rPr>
            </w:pPr>
            <w:r w:rsidRPr="00390A67">
              <w:rPr>
                <w:rFonts w:ascii="Symbol" w:hAnsi="Symbol"/>
                <w:lang w:val="x-none" w:eastAsia="x-none"/>
              </w:rPr>
              <w:t></w:t>
            </w:r>
            <w:r w:rsidRPr="00390A67">
              <w:rPr>
                <w:rFonts w:ascii="Symbol" w:hAnsi="Symbol"/>
                <w:lang w:val="x-none" w:eastAsia="x-none"/>
              </w:rPr>
              <w:tab/>
            </w:r>
            <w:r w:rsidRPr="0003120C">
              <w:rPr>
                <w:rFonts w:ascii="Times New Roman" w:hAnsi="Times New Roman"/>
              </w:rPr>
              <w:t>Подбор;</w:t>
            </w:r>
          </w:p>
          <w:p w:rsidR="006F6D4B" w:rsidRPr="0003120C" w:rsidRDefault="006F6D4B" w:rsidP="002B2F69">
            <w:pPr>
              <w:spacing w:after="0" w:line="240" w:lineRule="auto"/>
              <w:ind w:left="720" w:hanging="360"/>
              <w:rPr>
                <w:rFonts w:ascii="Times New Roman" w:hAnsi="Times New Roman"/>
              </w:rPr>
            </w:pPr>
            <w:r w:rsidRPr="00390A67">
              <w:rPr>
                <w:rFonts w:ascii="Symbol" w:hAnsi="Symbol"/>
                <w:lang w:val="x-none" w:eastAsia="x-none"/>
              </w:rPr>
              <w:t></w:t>
            </w:r>
            <w:r w:rsidRPr="00390A67">
              <w:rPr>
                <w:rFonts w:ascii="Symbol" w:hAnsi="Symbol"/>
                <w:lang w:val="x-none" w:eastAsia="x-none"/>
              </w:rPr>
              <w:tab/>
            </w:r>
            <w:r w:rsidRPr="0003120C">
              <w:rPr>
                <w:rFonts w:ascii="Times New Roman" w:hAnsi="Times New Roman"/>
              </w:rPr>
              <w:t>Обучение;</w:t>
            </w:r>
          </w:p>
          <w:p w:rsidR="006F6D4B" w:rsidRPr="0003120C" w:rsidRDefault="006F6D4B" w:rsidP="002B2F69">
            <w:pPr>
              <w:spacing w:after="0" w:line="240" w:lineRule="auto"/>
              <w:ind w:left="720" w:hanging="360"/>
              <w:rPr>
                <w:rFonts w:ascii="Times New Roman" w:hAnsi="Times New Roman"/>
              </w:rPr>
            </w:pPr>
            <w:r w:rsidRPr="00306988">
              <w:rPr>
                <w:rFonts w:ascii="Symbol" w:hAnsi="Symbol"/>
                <w:lang w:val="x-none" w:eastAsia="x-none"/>
              </w:rPr>
              <w:t></w:t>
            </w:r>
            <w:r w:rsidRPr="00306988">
              <w:rPr>
                <w:rFonts w:ascii="Symbol" w:hAnsi="Symbol"/>
                <w:lang w:val="x-none" w:eastAsia="x-none"/>
              </w:rPr>
              <w:tab/>
            </w:r>
            <w:r w:rsidRPr="0003120C">
              <w:rPr>
                <w:rFonts w:ascii="Times New Roman" w:hAnsi="Times New Roman"/>
              </w:rPr>
              <w:t>Карьера и преемственность.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F6D4B" w:rsidRPr="000B02E6" w:rsidTr="002B2F69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(если необходимо и 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F6D4B" w:rsidRPr="000B02E6" w:rsidTr="002B2F69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6F6D4B" w:rsidRPr="000B02E6" w:rsidRDefault="006F6D4B" w:rsidP="002B2F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6F6D4B" w:rsidRPr="000B02E6" w:rsidRDefault="006F6D4B" w:rsidP="002B2F69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6F6D4B" w:rsidRPr="000B02E6" w:rsidRDefault="006F6D4B" w:rsidP="002B2F69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F6D4B" w:rsidRPr="000B02E6" w:rsidRDefault="006F6D4B" w:rsidP="002B2F69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" w:hAnsi="Wingdings"/>
                <w:bCs/>
              </w:rPr>
              <w:t></w:t>
            </w:r>
            <w:r w:rsidRPr="000B02E6">
              <w:rPr>
                <w:rFonts w:ascii="Wingdings" w:hAnsi="Wingdings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</w:p>
          <w:p w:rsidR="006F6D4B" w:rsidRPr="000B02E6" w:rsidRDefault="006F6D4B" w:rsidP="002B2F69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F6D4B" w:rsidRPr="000B02E6" w:rsidRDefault="006F6D4B" w:rsidP="002B2F69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интернет (требуется СКЗИ на АРМ / не требуется)</w:t>
            </w:r>
          </w:p>
          <w:p w:rsidR="006F6D4B" w:rsidRPr="000B02E6" w:rsidRDefault="006F6D4B" w:rsidP="002B2F69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F6D4B" w:rsidRPr="000B02E6" w:rsidRDefault="006F6D4B" w:rsidP="002B2F69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:rsidR="006F6D4B" w:rsidRPr="000B02E6" w:rsidRDefault="006F6D4B" w:rsidP="002B2F69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F6D4B" w:rsidRPr="000B02E6" w:rsidRDefault="006F6D4B" w:rsidP="002B2F69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lang w:val="en-US"/>
              </w:rPr>
            </w:pPr>
            <w:r w:rsidRPr="000B02E6">
              <w:rPr>
                <w:rFonts w:ascii="Wingdings 2" w:hAnsi="Wingdings 2"/>
                <w:bCs/>
                <w:lang w:val="en-US"/>
              </w:rPr>
              <w:t></w:t>
            </w:r>
            <w:r w:rsidRPr="000B02E6">
              <w:rPr>
                <w:rFonts w:ascii="Wingdings 2" w:hAnsi="Wingdings 2"/>
                <w:bCs/>
                <w:lang w:val="en-US"/>
              </w:rPr>
              <w:tab/>
            </w:r>
            <w:r w:rsidRPr="000B02E6">
              <w:rPr>
                <w:rFonts w:ascii="Times New Roman" w:hAnsi="Times New Roman"/>
                <w:bCs/>
                <w:lang w:val="en-US"/>
              </w:rPr>
              <w:t>Другой способ ________________________________________________</w:t>
            </w:r>
          </w:p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  <w:r w:rsidRPr="000B02E6">
              <w:rPr>
                <w:rFonts w:ascii="Times New Roman" w:hAnsi="Times New Roman"/>
                <w:bCs/>
                <w:sz w:val="10"/>
                <w:szCs w:val="10"/>
                <w:lang w:val="en-US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F6D4B" w:rsidRPr="000B02E6" w:rsidTr="002B2F69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F6D4B" w:rsidRPr="000B02E6" w:rsidTr="002B2F69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6F6D4B" w:rsidRPr="00A25DA6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рамках услуги поддерживаются следующие бизнес-процессы:</w:t>
            </w:r>
          </w:p>
          <w:p w:rsidR="006F6D4B" w:rsidRPr="0003120C" w:rsidRDefault="006F6D4B" w:rsidP="002B2F69">
            <w:pPr>
              <w:spacing w:after="0" w:line="240" w:lineRule="auto"/>
              <w:ind w:left="720" w:hanging="360"/>
              <w:rPr>
                <w:rFonts w:ascii="Times New Roman" w:hAnsi="Times New Roman"/>
              </w:rPr>
            </w:pPr>
            <w:r w:rsidRPr="00563EAB">
              <w:rPr>
                <w:rFonts w:ascii="Symbol" w:hAnsi="Symbol"/>
                <w:lang w:val="x-none" w:eastAsia="x-none"/>
              </w:rPr>
              <w:t></w:t>
            </w:r>
            <w:r w:rsidRPr="00563EAB">
              <w:rPr>
                <w:rFonts w:ascii="Symbol" w:hAnsi="Symbol"/>
                <w:lang w:val="x-none" w:eastAsia="x-none"/>
              </w:rPr>
              <w:tab/>
            </w:r>
            <w:r w:rsidRPr="0003120C">
              <w:rPr>
                <w:rFonts w:ascii="Times New Roman" w:hAnsi="Times New Roman"/>
              </w:rPr>
              <w:t>управление эффективностью деятельности;</w:t>
            </w:r>
          </w:p>
          <w:p w:rsidR="006F6D4B" w:rsidRPr="0003120C" w:rsidRDefault="006F6D4B" w:rsidP="002B2F69">
            <w:pPr>
              <w:spacing w:after="0" w:line="240" w:lineRule="auto"/>
              <w:ind w:left="720" w:hanging="360"/>
              <w:rPr>
                <w:rFonts w:ascii="Times New Roman" w:hAnsi="Times New Roman"/>
              </w:rPr>
            </w:pPr>
            <w:r w:rsidRPr="00563EAB">
              <w:rPr>
                <w:rFonts w:ascii="Symbol" w:hAnsi="Symbol"/>
                <w:lang w:val="x-none" w:eastAsia="x-none"/>
              </w:rPr>
              <w:t></w:t>
            </w:r>
            <w:r w:rsidRPr="00563EAB">
              <w:rPr>
                <w:rFonts w:ascii="Symbol" w:hAnsi="Symbol"/>
                <w:lang w:val="x-none" w:eastAsia="x-none"/>
              </w:rPr>
              <w:tab/>
            </w:r>
            <w:r w:rsidRPr="0003120C">
              <w:rPr>
                <w:rFonts w:ascii="Times New Roman" w:hAnsi="Times New Roman"/>
              </w:rPr>
              <w:t>управление карьерой и преемственностью;</w:t>
            </w:r>
          </w:p>
          <w:p w:rsidR="006F6D4B" w:rsidRPr="0003120C" w:rsidRDefault="006F6D4B" w:rsidP="002B2F69">
            <w:pPr>
              <w:spacing w:after="0" w:line="240" w:lineRule="auto"/>
              <w:ind w:left="720" w:hanging="360"/>
              <w:rPr>
                <w:rFonts w:ascii="Times New Roman" w:hAnsi="Times New Roman"/>
              </w:rPr>
            </w:pPr>
            <w:r w:rsidRPr="00563EAB">
              <w:rPr>
                <w:rFonts w:ascii="Symbol" w:hAnsi="Symbol"/>
                <w:lang w:val="x-none" w:eastAsia="x-none"/>
              </w:rPr>
              <w:t></w:t>
            </w:r>
            <w:r w:rsidRPr="00563EAB">
              <w:rPr>
                <w:rFonts w:ascii="Symbol" w:hAnsi="Symbol"/>
                <w:lang w:val="x-none" w:eastAsia="x-none"/>
              </w:rPr>
              <w:tab/>
            </w:r>
            <w:r w:rsidRPr="0003120C">
              <w:rPr>
                <w:rFonts w:ascii="Times New Roman" w:hAnsi="Times New Roman"/>
              </w:rPr>
              <w:t>управление обучением;</w:t>
            </w:r>
          </w:p>
          <w:p w:rsidR="006F6D4B" w:rsidRPr="0003120C" w:rsidRDefault="006F6D4B" w:rsidP="002B2F69">
            <w:pPr>
              <w:spacing w:after="0" w:line="240" w:lineRule="auto"/>
              <w:ind w:left="720" w:hanging="360"/>
              <w:rPr>
                <w:rFonts w:ascii="Times New Roman" w:hAnsi="Times New Roman"/>
              </w:rPr>
            </w:pPr>
            <w:r w:rsidRPr="00306988">
              <w:rPr>
                <w:rFonts w:ascii="Symbol" w:hAnsi="Symbol"/>
                <w:lang w:val="x-none" w:eastAsia="x-none"/>
              </w:rPr>
              <w:t></w:t>
            </w:r>
            <w:r w:rsidRPr="00306988">
              <w:rPr>
                <w:rFonts w:ascii="Symbol" w:hAnsi="Symbol"/>
                <w:lang w:val="x-none" w:eastAsia="x-none"/>
              </w:rPr>
              <w:tab/>
            </w:r>
            <w:r w:rsidRPr="0003120C">
              <w:rPr>
                <w:rFonts w:ascii="Times New Roman" w:hAnsi="Times New Roman"/>
              </w:rPr>
              <w:t>подбор.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F6D4B" w:rsidRPr="000B02E6" w:rsidTr="002B2F69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F6D4B" w:rsidRPr="000B02E6" w:rsidTr="002B2F69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F6D4B" w:rsidRPr="000B02E6" w:rsidTr="002B2F69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6F6D4B" w:rsidRPr="000B02E6" w:rsidRDefault="006F6D4B" w:rsidP="002B2F69">
            <w:pPr>
              <w:tabs>
                <w:tab w:val="center" w:pos="1536"/>
              </w:tabs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Pr="00697838">
              <w:rPr>
                <w:rFonts w:ascii="Times New Roman" w:hAnsi="Times New Roman"/>
                <w:sz w:val="24"/>
                <w:szCs w:val="24"/>
              </w:rPr>
              <w:t>ИАСУП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  <w:r w:rsidRPr="00A6164B">
              <w:rPr>
                <w:rFonts w:ascii="Times New Roman" w:hAnsi="Times New Roman"/>
              </w:rPr>
              <w:t xml:space="preserve"> -</w:t>
            </w:r>
            <w:r w:rsidRPr="00A616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6427">
              <w:rPr>
                <w:rFonts w:ascii="Times New Roman" w:hAnsi="Times New Roman"/>
              </w:rPr>
              <w:t>Отображение информации, содержащейся в системе</w:t>
            </w:r>
            <w:r w:rsidRPr="00A6164B">
              <w:rPr>
                <w:rFonts w:ascii="Times New Roman" w:hAnsi="Times New Roman"/>
              </w:rPr>
              <w:t>;</w:t>
            </w:r>
            <w:r w:rsidRPr="00A6164B">
              <w:rPr>
                <w:rFonts w:ascii="Times New Roman" w:hAnsi="Times New Roman"/>
              </w:rPr>
              <w:br/>
              <w:t xml:space="preserve">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F6D4B" w:rsidRPr="000B02E6" w:rsidTr="002B2F69">
        <w:trPr>
          <w:trHeight w:val="6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6F6D4B" w:rsidRPr="000B02E6" w:rsidRDefault="006F6D4B" w:rsidP="002B2F69">
            <w:pPr>
              <w:tabs>
                <w:tab w:val="left" w:pos="2145"/>
              </w:tabs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Цифровой Подбор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  <w:r w:rsidRPr="00A6164B">
              <w:rPr>
                <w:rFonts w:ascii="Times New Roman" w:hAnsi="Times New Roman"/>
              </w:rPr>
              <w:t xml:space="preserve"> -</w:t>
            </w:r>
            <w:r>
              <w:rPr>
                <w:rFonts w:ascii="Times New Roman" w:hAnsi="Times New Roman"/>
              </w:rPr>
              <w:t xml:space="preserve"> </w:t>
            </w:r>
            <w:r w:rsidRPr="00A6164B">
              <w:rPr>
                <w:rFonts w:ascii="Times New Roman" w:hAnsi="Times New Roman"/>
              </w:rPr>
              <w:t>Заявка на подбор ;</w:t>
            </w:r>
            <w:r w:rsidRPr="00A6164B">
              <w:rPr>
                <w:rFonts w:ascii="Times New Roman" w:hAnsi="Times New Roman"/>
              </w:rPr>
              <w:br/>
              <w:t xml:space="preserve"> - Вывод кандидата.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F6D4B" w:rsidRPr="000B02E6" w:rsidTr="002B2F69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Pr="00CC6235">
              <w:rPr>
                <w:rFonts w:ascii="Times New Roman" w:hAnsi="Times New Roman"/>
              </w:rPr>
              <w:t>Сеть профессиональных сообществ</w:t>
            </w:r>
            <w:r>
              <w:rPr>
                <w:rFonts w:ascii="Times New Roman" w:hAnsi="Times New Roman"/>
              </w:rPr>
              <w:t xml:space="preserve"> (</w:t>
            </w:r>
            <w:r w:rsidRPr="00CC6235">
              <w:rPr>
                <w:rFonts w:ascii="Times New Roman" w:hAnsi="Times New Roman"/>
              </w:rPr>
              <w:t>IAM)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  <w:r w:rsidRPr="00A6164B">
              <w:rPr>
                <w:rFonts w:ascii="Times New Roman" w:hAnsi="Times New Roman"/>
              </w:rPr>
              <w:t xml:space="preserve"> - Разграничение прав доступа;</w:t>
            </w:r>
            <w:r w:rsidRPr="00A6164B">
              <w:rPr>
                <w:rFonts w:ascii="Times New Roman" w:hAnsi="Times New Roman"/>
              </w:rPr>
              <w:br/>
              <w:t xml:space="preserve"> - Аутентификация в системе.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F6D4B" w:rsidRPr="000B02E6" w:rsidTr="002B2F69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6F6D4B" w:rsidRPr="000B02E6" w:rsidRDefault="006F6D4B" w:rsidP="002B2F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6F6D4B" w:rsidRDefault="006F6D4B" w:rsidP="002B2F6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РЕКОРД - </w:t>
            </w:r>
            <w:r>
              <w:rPr>
                <w:rFonts w:ascii="Times New Roman" w:hAnsi="Times New Roman"/>
                <w:lang w:val="en-US"/>
              </w:rPr>
              <w:t>mobile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6F6D4B" w:rsidRPr="00270EC1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  <w:r w:rsidRPr="00A6164B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Каталог курсов</w:t>
            </w:r>
            <w:r>
              <w:rPr>
                <w:rFonts w:ascii="Times New Roman" w:hAnsi="Times New Roman"/>
              </w:rPr>
              <w:br/>
            </w:r>
            <w:r w:rsidRPr="00A6164B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Информация о прохождении курсов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D4B" w:rsidRPr="000B02E6" w:rsidTr="002B2F69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F6D4B" w:rsidRPr="000B02E6" w:rsidTr="002B2F69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F6D4B" w:rsidRPr="000B02E6" w:rsidTr="002B2F69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A6164B">
              <w:rPr>
                <w:rFonts w:ascii="Times New Roman" w:hAnsi="Times New Roman"/>
              </w:rPr>
              <w:t xml:space="preserve"> </w:t>
            </w:r>
            <w:r w:rsidRPr="00CE77FF"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F6D4B" w:rsidRPr="000B02E6" w:rsidTr="002B2F69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6F6D4B" w:rsidRPr="000B02E6" w:rsidRDefault="006F6D4B" w:rsidP="002B2F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6F6D4B" w:rsidRPr="00270EC1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  <w:r w:rsidRPr="00CE77FF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Д</w:t>
            </w:r>
            <w:r w:rsidRPr="00CE77FF">
              <w:rPr>
                <w:rFonts w:ascii="Times New Roman" w:hAnsi="Times New Roman"/>
              </w:rPr>
              <w:t>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D4B" w:rsidRPr="000B02E6" w:rsidTr="002B2F69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F6D4B" w:rsidRPr="000B02E6" w:rsidTr="002B2F69">
        <w:trPr>
          <w:trHeight w:val="476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  <w:r w:rsidRPr="001F1DF8">
              <w:rPr>
                <w:rFonts w:ascii="Times New Roman" w:hAnsi="Times New Roman"/>
                <w:color w:val="FF0000"/>
              </w:rPr>
              <w:t xml:space="preserve"> </w:t>
            </w:r>
            <w:r w:rsidRPr="00614EE4">
              <w:rPr>
                <w:rFonts w:ascii="Times New Roman" w:hAnsi="Times New Roman"/>
              </w:rPr>
              <w:t>Прием, обработка, регистрация и маршрутизация поступаю</w:t>
            </w:r>
            <w:r>
              <w:rPr>
                <w:rFonts w:ascii="Times New Roman" w:hAnsi="Times New Roman"/>
              </w:rPr>
              <w:t>щих обращений от пользователей.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F6D4B" w:rsidRPr="000B02E6" w:rsidTr="002B2F69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6F6D4B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  <w:r w:rsidRPr="00A25DA6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Предоставление д</w:t>
            </w:r>
            <w:r w:rsidRPr="00A25DA6">
              <w:rPr>
                <w:rFonts w:ascii="Times New Roman" w:hAnsi="Times New Roman"/>
              </w:rPr>
              <w:t>оступ</w:t>
            </w:r>
            <w:r>
              <w:rPr>
                <w:rFonts w:ascii="Times New Roman" w:hAnsi="Times New Roman"/>
              </w:rPr>
              <w:t>а</w:t>
            </w:r>
            <w:r w:rsidRPr="00A25DA6">
              <w:rPr>
                <w:rFonts w:ascii="Times New Roman" w:hAnsi="Times New Roman"/>
              </w:rPr>
              <w:t xml:space="preserve"> к Системе развития кадрового потенциала «РЕКОРД (импортонезависимая)»;</w:t>
            </w:r>
          </w:p>
          <w:p w:rsidR="006F6D4B" w:rsidRPr="00A6164B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  <w:r w:rsidRPr="00C23D62">
              <w:rPr>
                <w:rFonts w:ascii="Times New Roman" w:hAnsi="Times New Roman"/>
              </w:rPr>
              <w:t xml:space="preserve">- </w:t>
            </w:r>
            <w:r w:rsidRPr="00A6164B">
              <w:rPr>
                <w:rFonts w:ascii="Times New Roman" w:hAnsi="Times New Roman"/>
              </w:rPr>
              <w:t>Диагностика и устранение возникающих инцидентов и проблем в рамках поступающих обращений;</w:t>
            </w:r>
          </w:p>
          <w:p w:rsidR="006F6D4B" w:rsidRPr="00A6164B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  <w:r w:rsidRPr="00A6164B">
              <w:rPr>
                <w:rFonts w:ascii="Times New Roman" w:hAnsi="Times New Roman"/>
              </w:rPr>
              <w:t xml:space="preserve"> - Консультирование пользователей по работе в ИТ-системе в объеме реализованных бизнес-процессов;</w:t>
            </w:r>
          </w:p>
          <w:p w:rsidR="006F6D4B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  <w:r w:rsidRPr="00A6164B">
              <w:rPr>
                <w:rFonts w:ascii="Times New Roman" w:hAnsi="Times New Roman"/>
              </w:rPr>
              <w:t xml:space="preserve"> - </w:t>
            </w:r>
            <w:r>
              <w:rPr>
                <w:rFonts w:ascii="Times New Roman" w:hAnsi="Times New Roman"/>
              </w:rPr>
              <w:t>Настройка и адаптация</w:t>
            </w:r>
            <w:r w:rsidRPr="00A6164B">
              <w:rPr>
                <w:rFonts w:ascii="Times New Roman" w:hAnsi="Times New Roman"/>
              </w:rPr>
              <w:t xml:space="preserve"> функциональности ИТ-системы в рамках поступающих обращений, в случае если данные работы не влекут за собой изменение логики</w:t>
            </w:r>
            <w:r>
              <w:rPr>
                <w:rFonts w:ascii="Times New Roman" w:hAnsi="Times New Roman"/>
              </w:rPr>
              <w:t xml:space="preserve"> реализованного бизнес-процесса;</w:t>
            </w:r>
          </w:p>
          <w:p w:rsidR="006F6D4B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63EAB">
              <w:rPr>
                <w:rFonts w:ascii="Times New Roman" w:hAnsi="Times New Roman"/>
              </w:rPr>
              <w:t>Ведение матрицы ролей и полномочий, консультации пользователей по ролям;</w:t>
            </w:r>
            <w:r w:rsidRPr="00563EAB">
              <w:rPr>
                <w:rFonts w:ascii="Times New Roman" w:hAnsi="Times New Roman"/>
              </w:rPr>
              <w:br/>
              <w:t xml:space="preserve"> - Подготовка и тестирование обновлений ИТ-системы;</w:t>
            </w:r>
            <w:r w:rsidRPr="00563EAB">
              <w:rPr>
                <w:rFonts w:ascii="Times New Roman" w:hAnsi="Times New Roman"/>
              </w:rPr>
              <w:br/>
              <w:t xml:space="preserve"> - Подготовка учебных материалов и статей знаний по часто задаваемым вопросам и публикация их для общего доступа</w:t>
            </w:r>
            <w:r>
              <w:rPr>
                <w:rFonts w:ascii="Times New Roman" w:hAnsi="Times New Roman"/>
              </w:rPr>
              <w:t>;</w:t>
            </w:r>
          </w:p>
          <w:p w:rsidR="006F6D4B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  <w:r w:rsidRPr="00614EE4">
              <w:rPr>
                <w:rFonts w:ascii="Times New Roman" w:hAnsi="Times New Roman"/>
              </w:rPr>
              <w:t>- Консультации в части подключения и авторизации в системе</w:t>
            </w:r>
            <w:r>
              <w:rPr>
                <w:rFonts w:ascii="Times New Roman" w:hAnsi="Times New Roman"/>
              </w:rPr>
              <w:t>;</w:t>
            </w:r>
          </w:p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6C79DB">
              <w:rPr>
                <w:rFonts w:ascii="Times New Roman" w:hAnsi="Times New Roman"/>
              </w:rPr>
              <w:t>Развитие и модификация ИТ-системы в части реализации нового функционала осуществляется на основании утвержденных</w:t>
            </w:r>
            <w:r>
              <w:rPr>
                <w:rFonts w:ascii="Times New Roman" w:hAnsi="Times New Roman"/>
              </w:rPr>
              <w:t xml:space="preserve"> </w:t>
            </w:r>
            <w:r w:rsidRPr="006C79DB">
              <w:rPr>
                <w:rFonts w:ascii="Times New Roman" w:hAnsi="Times New Roman"/>
              </w:rPr>
              <w:t>заказчиком запросов на изменения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F6D4B" w:rsidRPr="000B02E6" w:rsidTr="002B2F69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6F6D4B" w:rsidRPr="00270EC1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70EC1">
              <w:rPr>
                <w:rFonts w:ascii="Times New Roman" w:hAnsi="Times New Roman"/>
              </w:rPr>
              <w:t>Мониторинг интеграционных сценариев в рамках поддерживаемых бизнес-процессов;</w:t>
            </w:r>
          </w:p>
          <w:p w:rsidR="006F6D4B" w:rsidRPr="00614EE4" w:rsidRDefault="006F6D4B" w:rsidP="002B2F69">
            <w:pPr>
              <w:spacing w:after="0" w:line="240" w:lineRule="auto"/>
              <w:rPr>
                <w:rFonts w:ascii="Times New Roman" w:hAnsi="Times New Roman"/>
                <w:highlight w:val="green"/>
              </w:rPr>
            </w:pPr>
            <w:r w:rsidRPr="00270EC1">
              <w:rPr>
                <w:rFonts w:ascii="Times New Roman" w:hAnsi="Times New Roman"/>
              </w:rPr>
              <w:t xml:space="preserve"> 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614EE4">
              <w:rPr>
                <w:rFonts w:ascii="Times New Roman" w:hAnsi="Times New Roman"/>
                <w:highlight w:val="green"/>
              </w:rPr>
              <w:t xml:space="preserve">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F6D4B" w:rsidRPr="000B02E6" w:rsidTr="002B2F69">
        <w:trPr>
          <w:trHeight w:val="192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6F6D4B" w:rsidRPr="00270EC1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70EC1">
              <w:rPr>
                <w:rFonts w:ascii="Times New Roman" w:hAnsi="Times New Roman"/>
              </w:rPr>
              <w:t>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</w:p>
          <w:p w:rsidR="006F6D4B" w:rsidRPr="00270EC1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  <w:r w:rsidRPr="00270EC1">
              <w:rPr>
                <w:rFonts w:ascii="Times New Roman" w:hAnsi="Times New Roman"/>
              </w:rPr>
              <w:t xml:space="preserve"> - Обеспечение резервного копирования и восстановления, в случае необходимости, баз данных.</w:t>
            </w:r>
          </w:p>
          <w:p w:rsidR="006F6D4B" w:rsidRPr="00614EE4" w:rsidRDefault="006F6D4B" w:rsidP="002B2F69">
            <w:pPr>
              <w:spacing w:after="0" w:line="240" w:lineRule="auto"/>
              <w:rPr>
                <w:rFonts w:ascii="Times New Roman" w:hAnsi="Times New Roman"/>
                <w:highlight w:val="green"/>
              </w:rPr>
            </w:pPr>
            <w:r w:rsidRPr="00270EC1">
              <w:rPr>
                <w:rFonts w:ascii="Times New Roman" w:hAnsi="Times New Roman"/>
              </w:rPr>
              <w:t xml:space="preserve"> - Предоставление прав доступа, присвоение соответствующих ролей в системе ведения учетных записей пользователей.</w:t>
            </w:r>
            <w:r w:rsidRPr="00614EE4">
              <w:rPr>
                <w:rFonts w:ascii="Times New Roman" w:hAnsi="Times New Roman"/>
                <w:highlight w:val="green"/>
              </w:rPr>
              <w:t xml:space="preserve">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F6D4B" w:rsidRPr="000B02E6" w:rsidTr="002B2F69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</w:t>
            </w:r>
            <w:r w:rsidRPr="000B02E6">
              <w:rPr>
                <w:rFonts w:ascii="Times New Roman" w:hAnsi="Times New Roman"/>
              </w:rPr>
              <w:t xml:space="preserve">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6F6D4B" w:rsidRPr="006C79DB" w:rsidRDefault="006F6D4B" w:rsidP="002B2F69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F6D4B" w:rsidRPr="000B02E6" w:rsidTr="002B2F69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F6D4B" w:rsidRPr="000B02E6" w:rsidTr="002B2F69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264C79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6F6D4B" w:rsidRPr="005E5AC0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 «Справка» на главной странице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F6D4B" w:rsidRPr="000B02E6" w:rsidTr="002B2F69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1F1DF8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Путь: </w:t>
            </w:r>
            <w:r w:rsidRPr="004E5ED3">
              <w:rPr>
                <w:rFonts w:ascii="Times New Roman" w:hAnsi="Times New Roman"/>
              </w:rPr>
              <w:t>Импортозамещение программного обеспечения</w:t>
            </w:r>
            <w:r w:rsidRPr="00A6164B">
              <w:rPr>
                <w:rFonts w:ascii="Times New Roman" w:hAnsi="Times New Roman"/>
              </w:rPr>
              <w:t xml:space="preserve"> → </w:t>
            </w:r>
            <w:r w:rsidRPr="004E5ED3">
              <w:rPr>
                <w:rFonts w:ascii="Times New Roman" w:hAnsi="Times New Roman"/>
              </w:rPr>
              <w:t>РЕКОРД 2.0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F6D4B" w:rsidRPr="000B02E6" w:rsidTr="002B2F69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6F6D4B" w:rsidRPr="000B02E6" w:rsidRDefault="006F6D4B" w:rsidP="002B2F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6F6D4B" w:rsidRPr="000B02E6" w:rsidRDefault="006F6D4B" w:rsidP="002B2F69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D4B" w:rsidRPr="000B02E6" w:rsidTr="002B2F69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6F6D4B" w:rsidRPr="000B02E6" w:rsidTr="002B2F69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F6D4B" w:rsidRPr="000B02E6" w:rsidTr="002B2F69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F6D4B" w:rsidRPr="000B02E6" w:rsidTr="002B2F69">
        <w:trPr>
          <w:trHeight w:val="1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6F6D4B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  <w:r w:rsidRPr="000B02E6">
              <w:rPr>
                <w:rFonts w:ascii="Times New Roman" w:hAnsi="Times New Roman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B02E6">
              <w:rPr>
                <w:rFonts w:ascii="Times New Roman" w:hAnsi="Times New Roman"/>
              </w:rPr>
              <w:br/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  <w:p w:rsidR="006F6D4B" w:rsidRPr="00BC3660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  <w:r w:rsidRPr="00BC3660">
              <w:rPr>
                <w:rFonts w:ascii="Times New Roman" w:hAnsi="Times New Roman"/>
              </w:rPr>
              <w:t>1.8.3. Перечень персональных данных, обрабатываемых в рамках услуги:</w:t>
            </w:r>
          </w:p>
          <w:p w:rsidR="006F6D4B" w:rsidRPr="00BC3660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  <w:r w:rsidRPr="00BC3660">
              <w:rPr>
                <w:rFonts w:ascii="Times New Roman" w:hAnsi="Times New Roman"/>
              </w:rPr>
              <w:lastRenderedPageBreak/>
              <w:t>- Обработка персональных данных граждан РФ: ФИО, адрес электронной почты, номер телефона, дата рождения, возраст, гражданство, должность, код должности, признаки должности, наименование работодателя, сведения о трудовом стаже, сведения об образовании, присвоенные статусы (резервист, участник международной деятельности, преемник), СНИЛС, табельный номер, статус трудовых отношений, фотография, ФИО руководителя.</w:t>
            </w:r>
          </w:p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  <w:r w:rsidRPr="00BC3660">
              <w:rPr>
                <w:rFonts w:ascii="Times New Roman" w:hAnsi="Times New Roman"/>
              </w:rPr>
              <w:t>- Обработка персональных данных иностранных граждан Исполнителем осуществляется в соответствии с законодательством РФ. Все претензии и споры, связанные с нарушением правил обработки персональных данных иностранных граждан, установленных национальными законодательствами других государств, решаются между Заказчиком и субъектом персональных данных (и/или третьим лицом) самостоятельно, без привлечения Исполнителя.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6F6D4B" w:rsidRPr="000B02E6" w:rsidTr="002B2F69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F6D4B" w:rsidRPr="000B02E6" w:rsidTr="002B2F69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(чел.мес.)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F6D4B" w:rsidRPr="000B02E6" w:rsidTr="002B2F69">
        <w:trPr>
          <w:trHeight w:val="214"/>
        </w:trPr>
        <w:tc>
          <w:tcPr>
            <w:tcW w:w="283" w:type="dxa"/>
            <w:vMerge w:val="restart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vMerge w:val="restart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F6D4B" w:rsidRPr="00271945" w:rsidRDefault="006F6D4B" w:rsidP="002B2F6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6F6D4B" w:rsidRPr="00224B1E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Базовый </w:t>
            </w:r>
          </w:p>
        </w:tc>
        <w:tc>
          <w:tcPr>
            <w:tcW w:w="5020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6F6D4B" w:rsidRPr="00F4775C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  <w:r w:rsidRPr="00F4775C">
              <w:rPr>
                <w:rFonts w:ascii="Times New Roman" w:hAnsi="Times New Roman"/>
              </w:rPr>
              <w:t>0,000051406</w:t>
            </w:r>
          </w:p>
        </w:tc>
        <w:tc>
          <w:tcPr>
            <w:tcW w:w="283" w:type="dxa"/>
            <w:vMerge w:val="restart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F6D4B" w:rsidRPr="000B02E6" w:rsidTr="002B2F69">
        <w:trPr>
          <w:trHeight w:val="126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6F6D4B" w:rsidRPr="000B02E6" w:rsidRDefault="006F6D4B" w:rsidP="002B2F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6F6D4B" w:rsidRPr="000B02E6" w:rsidRDefault="006F6D4B" w:rsidP="002B2F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6F6D4B" w:rsidRPr="00271945" w:rsidRDefault="006F6D4B" w:rsidP="002B2F6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6F6D4B" w:rsidRPr="000619D1" w:rsidRDefault="006F6D4B" w:rsidP="002B2F69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Обучение</w:t>
            </w:r>
          </w:p>
        </w:tc>
        <w:tc>
          <w:tcPr>
            <w:tcW w:w="5020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6F6D4B" w:rsidRPr="00F4775C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  <w:r w:rsidRPr="00F4775C">
              <w:rPr>
                <w:rFonts w:ascii="Times New Roman" w:hAnsi="Times New Roman"/>
              </w:rPr>
              <w:t>0,000061249</w:t>
            </w:r>
          </w:p>
        </w:tc>
        <w:tc>
          <w:tcPr>
            <w:tcW w:w="283" w:type="dxa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F6D4B" w:rsidRPr="000B02E6" w:rsidTr="002B2F69">
        <w:trPr>
          <w:trHeight w:val="126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6F6D4B" w:rsidRPr="000B02E6" w:rsidRDefault="006F6D4B" w:rsidP="002B2F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6F6D4B" w:rsidRPr="000B02E6" w:rsidRDefault="006F6D4B" w:rsidP="002B2F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6F6D4B" w:rsidRPr="00271945" w:rsidRDefault="006F6D4B" w:rsidP="002B2F6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6F6D4B" w:rsidRPr="000619D1" w:rsidRDefault="006F6D4B" w:rsidP="002B2F69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Подбор</w:t>
            </w:r>
          </w:p>
        </w:tc>
        <w:tc>
          <w:tcPr>
            <w:tcW w:w="5020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6F6D4B" w:rsidRPr="00F4775C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  <w:r w:rsidRPr="00F4775C">
              <w:rPr>
                <w:rFonts w:ascii="Times New Roman" w:hAnsi="Times New Roman"/>
              </w:rPr>
              <w:t>0,000024253</w:t>
            </w:r>
          </w:p>
        </w:tc>
        <w:tc>
          <w:tcPr>
            <w:tcW w:w="283" w:type="dxa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F6D4B" w:rsidRPr="000B02E6" w:rsidTr="002B2F69">
        <w:trPr>
          <w:trHeight w:val="126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6F6D4B" w:rsidRPr="000B02E6" w:rsidRDefault="006F6D4B" w:rsidP="002B2F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6F6D4B" w:rsidRPr="000B02E6" w:rsidRDefault="006F6D4B" w:rsidP="002B2F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6F6D4B" w:rsidRPr="00271945" w:rsidRDefault="006F6D4B" w:rsidP="002B2F6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6F6D4B" w:rsidRPr="000619D1" w:rsidRDefault="006F6D4B" w:rsidP="002B2F69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Карьера</w:t>
            </w:r>
          </w:p>
        </w:tc>
        <w:tc>
          <w:tcPr>
            <w:tcW w:w="5020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6F6D4B" w:rsidRPr="00F4775C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  <w:r w:rsidRPr="00F4775C">
              <w:rPr>
                <w:rFonts w:ascii="Times New Roman" w:hAnsi="Times New Roman"/>
              </w:rPr>
              <w:t>0,000046861</w:t>
            </w:r>
          </w:p>
        </w:tc>
        <w:tc>
          <w:tcPr>
            <w:tcW w:w="283" w:type="dxa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F6D4B" w:rsidRPr="000B02E6" w:rsidTr="002B2F69">
        <w:trPr>
          <w:trHeight w:val="126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6F6D4B" w:rsidRPr="000B02E6" w:rsidRDefault="006F6D4B" w:rsidP="002B2F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4" w:space="0" w:color="auto"/>
              <w:right w:val="single" w:sz="6" w:space="0" w:color="0D0D0D"/>
            </w:tcBorders>
            <w:shd w:val="clear" w:color="auto" w:fill="auto"/>
            <w:vAlign w:val="center"/>
          </w:tcPr>
          <w:p w:rsidR="006F6D4B" w:rsidRPr="000B02E6" w:rsidRDefault="006F6D4B" w:rsidP="002B2F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6F6D4B" w:rsidRPr="00271945" w:rsidRDefault="006F6D4B" w:rsidP="002B2F6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6F6D4B" w:rsidRPr="000619D1" w:rsidRDefault="006F6D4B" w:rsidP="002B2F69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УЭД</w:t>
            </w:r>
          </w:p>
        </w:tc>
        <w:tc>
          <w:tcPr>
            <w:tcW w:w="5020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6F6D4B" w:rsidRPr="00F4775C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  <w:r w:rsidRPr="00F4775C">
              <w:rPr>
                <w:rFonts w:ascii="Times New Roman" w:hAnsi="Times New Roman"/>
              </w:rPr>
              <w:t>0,000076687</w:t>
            </w:r>
          </w:p>
        </w:tc>
        <w:tc>
          <w:tcPr>
            <w:tcW w:w="283" w:type="dxa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F6D4B" w:rsidRPr="000B02E6" w:rsidTr="002B2F69">
        <w:trPr>
          <w:trHeight w:val="105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F6D4B" w:rsidRPr="00271945" w:rsidRDefault="006F6D4B" w:rsidP="002B2F6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6F6D4B" w:rsidRPr="006F1F79" w:rsidRDefault="006F6D4B" w:rsidP="002B2F69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Базовый </w:t>
            </w:r>
          </w:p>
        </w:tc>
        <w:tc>
          <w:tcPr>
            <w:tcW w:w="5020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6F6D4B" w:rsidRPr="00F4775C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  <w:r w:rsidRPr="00F4775C">
              <w:rPr>
                <w:rFonts w:ascii="Times New Roman" w:hAnsi="Times New Roman"/>
              </w:rPr>
              <w:t>0,000003534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F6D4B" w:rsidRPr="000B02E6" w:rsidTr="002B2F69">
        <w:trPr>
          <w:trHeight w:val="677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4B" w:rsidRPr="000B02E6" w:rsidRDefault="006F6D4B" w:rsidP="002B2F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F6D4B" w:rsidRPr="00271945" w:rsidRDefault="006F6D4B" w:rsidP="002B2F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6F6D4B" w:rsidRPr="00F4775C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D4B" w:rsidRPr="000B02E6" w:rsidTr="002B2F69">
        <w:trPr>
          <w:trHeight w:val="126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D4B" w:rsidRPr="000B02E6" w:rsidRDefault="006F6D4B" w:rsidP="002B2F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F6D4B" w:rsidRPr="00271945" w:rsidRDefault="006F6D4B" w:rsidP="002B2F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6F6D4B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Базовый</w:t>
            </w:r>
          </w:p>
        </w:tc>
        <w:tc>
          <w:tcPr>
            <w:tcW w:w="5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6F6D4B" w:rsidRPr="00F4775C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  <w:r w:rsidRPr="00F4775C">
              <w:rPr>
                <w:rFonts w:ascii="Times New Roman" w:hAnsi="Times New Roman"/>
              </w:rPr>
              <w:t>0,000023237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D4B" w:rsidRPr="000B02E6" w:rsidTr="002B2F69">
        <w:trPr>
          <w:trHeight w:val="126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D4B" w:rsidRDefault="006F6D4B" w:rsidP="002B2F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F6D4B" w:rsidRPr="00271945" w:rsidRDefault="006F6D4B" w:rsidP="002B2F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6F6D4B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</w:t>
            </w:r>
          </w:p>
        </w:tc>
        <w:tc>
          <w:tcPr>
            <w:tcW w:w="5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6F6D4B" w:rsidRPr="00F4775C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  <w:r w:rsidRPr="00F4775C">
              <w:rPr>
                <w:rFonts w:ascii="Times New Roman" w:hAnsi="Times New Roman"/>
              </w:rPr>
              <w:t>0,000023237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D4B" w:rsidRPr="000B02E6" w:rsidTr="002B2F69">
        <w:trPr>
          <w:trHeight w:val="126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D4B" w:rsidRDefault="006F6D4B" w:rsidP="002B2F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F6D4B" w:rsidRPr="00271945" w:rsidRDefault="006F6D4B" w:rsidP="002B2F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6F6D4B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Подбор</w:t>
            </w:r>
          </w:p>
        </w:tc>
        <w:tc>
          <w:tcPr>
            <w:tcW w:w="5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6F6D4B" w:rsidRPr="00F4775C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  <w:r w:rsidRPr="00F4775C">
              <w:rPr>
                <w:rFonts w:ascii="Times New Roman" w:hAnsi="Times New Roman"/>
              </w:rPr>
              <w:t>0,000151149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D4B" w:rsidRPr="000B02E6" w:rsidTr="002B2F69">
        <w:trPr>
          <w:trHeight w:val="126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D4B" w:rsidRDefault="006F6D4B" w:rsidP="002B2F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F6D4B" w:rsidRPr="00271945" w:rsidRDefault="006F6D4B" w:rsidP="002B2F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6F6D4B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Карьера</w:t>
            </w:r>
          </w:p>
        </w:tc>
        <w:tc>
          <w:tcPr>
            <w:tcW w:w="5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6F6D4B" w:rsidRPr="00F4775C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  <w:r w:rsidRPr="00F4775C">
              <w:rPr>
                <w:rFonts w:ascii="Times New Roman" w:hAnsi="Times New Roman"/>
              </w:rPr>
              <w:t>0,000044758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D4B" w:rsidRPr="000B02E6" w:rsidTr="002B2F69">
        <w:trPr>
          <w:trHeight w:val="126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6D4B" w:rsidRDefault="006F6D4B" w:rsidP="002B2F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F6D4B" w:rsidRPr="00271945" w:rsidRDefault="006F6D4B" w:rsidP="002B2F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6F6D4B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УЭД</w:t>
            </w:r>
          </w:p>
        </w:tc>
        <w:tc>
          <w:tcPr>
            <w:tcW w:w="5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6F6D4B" w:rsidRPr="00F4775C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  <w:r w:rsidRPr="00F4775C">
              <w:rPr>
                <w:rFonts w:ascii="Times New Roman" w:hAnsi="Times New Roman"/>
              </w:rPr>
              <w:t>0,000044758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D4B" w:rsidRPr="000B02E6" w:rsidTr="002B2F69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D4B" w:rsidRPr="000B02E6" w:rsidTr="002B2F69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F6D4B" w:rsidRPr="005E5AC0" w:rsidRDefault="006F6D4B" w:rsidP="002B2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5AC0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 w:rsidRPr="005E5AC0">
              <w:rPr>
                <w:rFonts w:ascii="Times New Roman" w:hAnsi="Times New Roman"/>
                <w:sz w:val="24"/>
                <w:szCs w:val="24"/>
              </w:rPr>
              <w:t>,55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D4B" w:rsidRPr="000B02E6" w:rsidTr="002B2F69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F6D4B" w:rsidRPr="005E5AC0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  <w:r w:rsidRPr="005E5AC0">
              <w:rPr>
                <w:rFonts w:ascii="Times New Roman" w:hAnsi="Times New Roman"/>
              </w:rPr>
              <w:t>31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D4B" w:rsidRPr="000B02E6" w:rsidTr="002B2F69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F6D4B" w:rsidRPr="005E5AC0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  <w:r w:rsidRPr="005E5AC0">
              <w:rPr>
                <w:rFonts w:ascii="Times New Roman" w:hAnsi="Times New Roman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D4B" w:rsidRPr="000B02E6" w:rsidTr="002B2F69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F6D4B" w:rsidRPr="005E5AC0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  <w:r w:rsidRPr="005E5AC0">
              <w:rPr>
                <w:rFonts w:ascii="Times New Roman" w:hAnsi="Times New Roman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D4B" w:rsidRPr="000B02E6" w:rsidTr="002B2F69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катастрофоустойчивости </w:t>
            </w:r>
          </w:p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D4B" w:rsidRPr="000B02E6" w:rsidTr="002B2F69">
        <w:trPr>
          <w:trHeight w:val="20"/>
        </w:trPr>
        <w:tc>
          <w:tcPr>
            <w:tcW w:w="10716" w:type="dxa"/>
            <w:gridSpan w:val="10"/>
            <w:shd w:val="clear" w:color="auto" w:fill="auto"/>
            <w:noWrap/>
            <w:vAlign w:val="center"/>
          </w:tcPr>
          <w:p w:rsidR="006F6D4B" w:rsidRPr="000B02E6" w:rsidRDefault="006F6D4B" w:rsidP="002B2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4D73" w:rsidRPr="006F6D4B" w:rsidRDefault="00384D73" w:rsidP="006F6D4B">
      <w:bookmarkStart w:id="0" w:name="_GoBack"/>
      <w:bookmarkEnd w:id="0"/>
    </w:p>
    <w:sectPr w:rsidR="00384D73" w:rsidRPr="006F6D4B" w:rsidSect="006F6D4B">
      <w:pgSz w:w="11906" w:h="16838"/>
      <w:pgMar w:top="1134" w:right="850" w:bottom="1134" w:left="6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D4B"/>
    <w:rsid w:val="00384D73"/>
    <w:rsid w:val="006F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2B27C-9FDB-46E7-8323-A39BD60F9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924</Words>
  <Characters>5267</Characters>
  <Application>Microsoft Office Word</Application>
  <DocSecurity>0</DocSecurity>
  <Lines>43</Lines>
  <Paragraphs>12</Paragraphs>
  <ScaleCrop>false</ScaleCrop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Шубина Дария Олеговна</dc:creator>
  <cp:keywords/>
  <dc:description/>
  <cp:lastModifiedBy>Шубина Дария Олеговна</cp:lastModifiedBy>
  <cp:revision>1</cp:revision>
  <dcterms:created xsi:type="dcterms:W3CDTF">2023-11-07T13:54:00Z</dcterms:created>
  <dcterms:modified xsi:type="dcterms:W3CDTF">2023-11-07T13:54:00Z</dcterms:modified>
</cp:coreProperties>
</file>