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CBA.131</w:t>
            </w:r>
          </w:p>
        </w:tc>
        <w:tc>
          <w:tcPr>
            <w:tcW w:w="3689" w:type="dxa"/>
            <w:gridSpan w:val="2"/>
          </w:tcPr>
          <w:p w:rsidR="00FA6245" w:rsidRPr="00C04D2B" w:rsidRDefault="00A34822" w:rsidP="006E047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33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системы информационного взаимодействия для передачи данных между дивизионами «Топливная компания" и АО «Атомэнергомаш" в контуре PLM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822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ИТ-услуги осуществляется комплекс работ, позволяющий обеспечить в объеме реализованных бизнес-процессов стабильное функционирование системы информационного взаимодействия с применением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WebPortal</w:t>
            </w:r>
            <w:r w:rsidRPr="00A34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PLM</w:t>
            </w:r>
            <w:r w:rsidRPr="00A34822">
              <w:rPr>
                <w:rFonts w:ascii="Times New Roman" w:hAnsi="Times New Roman" w:cs="Times New Roman"/>
                <w:sz w:val="24"/>
                <w:szCs w:val="24"/>
              </w:rPr>
              <w:t xml:space="preserve"> ТВЭЛ АЭМ для передачи документов и данных между:</w:t>
            </w:r>
            <w:r w:rsidRPr="00A34822">
              <w:rPr>
                <w:rFonts w:ascii="Times New Roman" w:hAnsi="Times New Roman" w:cs="Times New Roman"/>
                <w:sz w:val="24"/>
                <w:szCs w:val="24"/>
              </w:rPr>
              <w:br/>
              <w:t>• организациями дивизионов «Топливной компании» и АО «Атомэнергомаш»;</w:t>
            </w:r>
            <w:r w:rsidRPr="00A348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организациями внутри дивизиона «Топливной компании» (между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PDM</w:t>
            </w:r>
            <w:r w:rsidRPr="00A34822">
              <w:rPr>
                <w:rFonts w:ascii="Times New Roman" w:hAnsi="Times New Roman" w:cs="Times New Roman"/>
                <w:sz w:val="24"/>
                <w:szCs w:val="24"/>
              </w:rPr>
              <w:t xml:space="preserve"> ТК и другими локальными АСУ КТПП организаций ТК).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A34822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822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A34822">
              <w:rPr>
                <w:rFonts w:ascii="Times New Roman" w:hAnsi="Times New Roman" w:cs="Times New Roman"/>
                <w:sz w:val="24"/>
                <w:szCs w:val="24"/>
              </w:rPr>
              <w:br/>
              <w:t>• Прием, обработка, регистрация и маршрутизация поступающих обращений от пользователей.</w:t>
            </w:r>
            <w:r w:rsidRPr="00A348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4822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A348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Формирование параметров подключения для предприятий к сервису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WebPortal</w:t>
            </w:r>
            <w:r w:rsidRPr="00A34822">
              <w:rPr>
                <w:rFonts w:ascii="Times New Roman" w:hAnsi="Times New Roman" w:cs="Times New Roman"/>
                <w:sz w:val="24"/>
                <w:szCs w:val="24"/>
              </w:rPr>
              <w:t xml:space="preserve"> (создание объекта информационного узла и пользователей узла;</w:t>
            </w:r>
            <w:r w:rsidRPr="00A34822">
              <w:rPr>
                <w:rFonts w:ascii="Times New Roman" w:hAnsi="Times New Roman" w:cs="Times New Roman"/>
                <w:sz w:val="24"/>
                <w:szCs w:val="24"/>
              </w:rPr>
              <w:br/>
              <w:t>• Предоставление прав доступа пользователям узла (настройка прав доступа на публикацию и импорт;Обновление прикладного ПО системы до актуальной версии (обновление прикладного ПО до актуальной версии; тестирование новой версии прикладного ПО;</w:t>
            </w:r>
            <w:r w:rsidRPr="00A348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Мониторинг работоспособности системы (мониторинг ошибок импорта и публикации на сервисе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WebPortal</w:t>
            </w:r>
            <w:r w:rsidRPr="00A34822">
              <w:rPr>
                <w:rFonts w:ascii="Times New Roman" w:hAnsi="Times New Roman" w:cs="Times New Roman"/>
                <w:sz w:val="24"/>
                <w:szCs w:val="24"/>
              </w:rPr>
              <w:t xml:space="preserve">; мониторинг работоспособности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A34822">
              <w:rPr>
                <w:rFonts w:ascii="Times New Roman" w:hAnsi="Times New Roman" w:cs="Times New Roman"/>
                <w:sz w:val="24"/>
                <w:szCs w:val="24"/>
              </w:rPr>
              <w:t xml:space="preserve">-сервиса; мониторинг работоспособности службы менеджера лицензий; выявление ошибок импорта/публикации на сервисе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WebPortal</w:t>
            </w:r>
            <w:r w:rsidRPr="00A34822">
              <w:rPr>
                <w:rFonts w:ascii="Times New Roman" w:hAnsi="Times New Roman" w:cs="Times New Roman"/>
                <w:sz w:val="24"/>
                <w:szCs w:val="24"/>
              </w:rPr>
              <w:t>; оказание консультационных работ по устранению ошибок публикации/импорта;</w:t>
            </w:r>
            <w:r w:rsidRPr="00A34822">
              <w:rPr>
                <w:rFonts w:ascii="Times New Roman" w:hAnsi="Times New Roman" w:cs="Times New Roman"/>
                <w:sz w:val="24"/>
                <w:szCs w:val="24"/>
              </w:rPr>
              <w:br/>
              <w:t>• Учет и координация работ в СУИТ по услуге (работа менеджера услуги, актуализация маршрутной карты, статистический анализ;</w:t>
            </w:r>
            <w:r w:rsidRPr="00A34822">
              <w:rPr>
                <w:rFonts w:ascii="Times New Roman" w:hAnsi="Times New Roman" w:cs="Times New Roman"/>
                <w:sz w:val="24"/>
                <w:szCs w:val="24"/>
              </w:rPr>
              <w:br/>
              <w:t>• Актуализация документации на Систему (актуализация инструкций, документации на систему и др. информационных материалов; рассылка актуализированных материалов, сбор обратной связи;</w:t>
            </w:r>
            <w:r w:rsidRPr="00A348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Формирование статус-отчетов по использованию сервиса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WebPortal</w:t>
            </w:r>
            <w:r w:rsidRPr="00A34822">
              <w:rPr>
                <w:rFonts w:ascii="Times New Roman" w:hAnsi="Times New Roman" w:cs="Times New Roman"/>
                <w:sz w:val="24"/>
                <w:szCs w:val="24"/>
              </w:rPr>
              <w:t xml:space="preserve"> (формирование и рассылка статус-отчетов по запросу пользователя;</w:t>
            </w:r>
            <w:r w:rsidRPr="00A34822">
              <w:rPr>
                <w:rFonts w:ascii="Times New Roman" w:hAnsi="Times New Roman" w:cs="Times New Roman"/>
                <w:sz w:val="24"/>
                <w:szCs w:val="24"/>
              </w:rPr>
              <w:br/>
              <w:t>• Выдача дополнительного задания на полное резервное копирование перед обновлением Системы и выполнение копирования;Выполнение работ по корректировке ТР (актуализация таблиц СВ, актуализация требований по ИБ;</w:t>
            </w:r>
            <w:r w:rsidRPr="00A34822">
              <w:rPr>
                <w:rFonts w:ascii="Times New Roman" w:hAnsi="Times New Roman" w:cs="Times New Roman"/>
                <w:sz w:val="24"/>
                <w:szCs w:val="24"/>
              </w:rPr>
              <w:br/>
              <w:t>• Согласование ТР (трудозатраты смежных подразделений по проверке корректности ТР;</w:t>
            </w:r>
            <w:r w:rsidRPr="00A34822">
              <w:rPr>
                <w:rFonts w:ascii="Times New Roman" w:hAnsi="Times New Roman" w:cs="Times New Roman"/>
                <w:sz w:val="24"/>
                <w:szCs w:val="24"/>
              </w:rPr>
              <w:br/>
              <w:t>• Проведение работ по открытию СВ (согласование выполнения работ по открытию СВ у ИБ, выполнение работ по настройке правил на узлах КСПД.</w:t>
            </w:r>
            <w:r w:rsidRPr="00A348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4822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</w:t>
            </w:r>
            <w:r w:rsidRPr="00A348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Интеграции со смежными системами, отличными от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PDM</w:t>
            </w:r>
            <w:r w:rsidRPr="00A34822">
              <w:rPr>
                <w:rFonts w:ascii="Times New Roman" w:hAnsi="Times New Roman" w:cs="Times New Roman"/>
                <w:sz w:val="24"/>
                <w:szCs w:val="24"/>
              </w:rPr>
              <w:t xml:space="preserve"> и АСУ КТПП, не предусмотрены.</w:t>
            </w:r>
            <w:r w:rsidRPr="00A348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4822">
              <w:rPr>
                <w:rFonts w:ascii="Times New Roman" w:hAnsi="Times New Roman" w:cs="Times New Roman"/>
                <w:sz w:val="24"/>
                <w:szCs w:val="24"/>
              </w:rPr>
              <w:br/>
              <w:t>Модификация ИТ-системы:</w:t>
            </w:r>
            <w:r w:rsidRPr="00A348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48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Развитие и модификация СИСТЕМЫ в части реализации нового функционала в рамках настоящей услуге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A34822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4822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A3482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A34822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4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Система является интеграционной шиной между системами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PDM</w:t>
            </w:r>
            <w:r w:rsidRPr="00A34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АСУ КТПП организаций, подключенных к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WebPortal</w:t>
            </w:r>
            <w:r w:rsidRPr="00A34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PLM</w:t>
            </w:r>
            <w:r w:rsidRPr="00A34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ТВЭЛ АЭМ. Прямое подключение пользователей не предусмотрено. Пользователи взаимодействуют с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WebPortal</w:t>
            </w:r>
            <w:r w:rsidRPr="00A34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PLM</w:t>
            </w:r>
            <w:r w:rsidRPr="00A34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ТВЭЛ АЭМ через подсистему информационного взаимодействия организации посредством распределенного документооборота.</w:t>
            </w:r>
            <w:r w:rsidRPr="00A3482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 В п.4.3. представлен полный перечень групп бизнес-процессов / сценариев, реализованных в информационной системе.</w:t>
            </w:r>
            <w:r w:rsidRPr="00A3482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 Поддержка перечня бизнес-процессов/сценариев, которые были введены при переводе СИСТЕМЫ в постоянную (промышленную) эксплуатацию.</w:t>
            </w:r>
            <w:r w:rsidRPr="00A3482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4 Сотрудникам Исполнителя предоставляется право самостоятельно получать дистрибутивы и документацию на программное обеспечение и обновления напрямую с ресурсов вендоров или поставщиков программного обеспечения для выполнения работ по тестированию и установке программного обеспечения на ресурсах Заказчика. Правомочность инсталляции и использования программного обеспечения и обновлений обеспечивается в соответствии с документом «Порядок обновления информационных систем класса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PDM</w:t>
            </w:r>
            <w:r w:rsidRPr="00A34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PLM</w:t>
            </w:r>
            <w:r w:rsidRPr="00A34822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  <w:r w:rsidRPr="00A3482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5 ИТ-инфраструктура предоставляется Заказчиком.</w:t>
            </w:r>
            <w:r w:rsidRPr="00A3482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6 Перечень персональных данных, обрабатываемых в рамках услуги: Фамилия Имя Отчество, Логин, Должность, Табельный номер, Наименование работодателя, Наименование отдела, Корпоративный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A3482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A34822">
              <w:rPr>
                <w:rFonts w:ascii="Times New Roman" w:hAnsi="Times New Roman" w:cs="Times New Roman"/>
                <w:bCs/>
                <w:sz w:val="24"/>
                <w:szCs w:val="24"/>
              </w:rPr>
              <w:t>, Корпоративный номер телефона, Расположение рабочего места.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34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«Абонентский пункт» (организация, подключаемая к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WebPortal</w:t>
            </w:r>
            <w:r w:rsidRPr="00A34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PLM</w:t>
            </w:r>
            <w:r w:rsidRPr="00A34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ТВЭЛ АЭМ в виде одного информационного узла системы). Если у организации информационная система (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PDM</w:t>
            </w:r>
            <w:r w:rsidRPr="00A34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или АСУ КТПП) является распределенной между несколькими территориально распределенными субъектами, то каждая инсталляция этой информационной системы подключается к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WebPortal</w:t>
            </w:r>
            <w:r w:rsidRPr="00A34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PLM</w:t>
            </w:r>
            <w:r w:rsidRPr="00A34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ТВЭЛ АЭМ в виде самостоятельного абонентского пункта.</w:t>
            </w:r>
            <w:r w:rsidRPr="00A3482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• «Толстый» клиент (клиентское подключение предусмотрено только для администраторов системы).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АСУ КТПП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34822">
              <w:rPr>
                <w:rFonts w:ascii="Times New Roman" w:hAnsi="Times New Roman" w:cs="Times New Roman"/>
                <w:sz w:val="24"/>
              </w:rPr>
              <w:t>Абонентские пункты:</w:t>
            </w:r>
            <w:r w:rsidRPr="00A34822">
              <w:rPr>
                <w:rFonts w:ascii="Times New Roman" w:hAnsi="Times New Roman" w:cs="Times New Roman"/>
                <w:sz w:val="24"/>
              </w:rPr>
              <w:br/>
              <w:t>1) Централизованная АСУ КТПП Точмаш (АО «ВПО «Точмаш», ПАО «КМЗ»);</w:t>
            </w:r>
            <w:r w:rsidRPr="00A34822">
              <w:rPr>
                <w:rFonts w:ascii="Times New Roman" w:hAnsi="Times New Roman" w:cs="Times New Roman"/>
                <w:sz w:val="24"/>
              </w:rPr>
              <w:br/>
              <w:t>2) АСУ КТПП Центротех (ООО «НПО «Центротех»);</w:t>
            </w:r>
            <w:r w:rsidRPr="00A34822">
              <w:rPr>
                <w:rFonts w:ascii="Times New Roman" w:hAnsi="Times New Roman" w:cs="Times New Roman"/>
                <w:sz w:val="24"/>
              </w:rPr>
              <w:br/>
              <w:t>3) АСУ КТПП Центротех-Инжиниринг (ООО «Центротех-Инжиниринг»);</w:t>
            </w:r>
            <w:r w:rsidRPr="00A34822">
              <w:rPr>
                <w:rFonts w:ascii="Times New Roman" w:hAnsi="Times New Roman" w:cs="Times New Roman"/>
                <w:sz w:val="24"/>
              </w:rPr>
              <w:br/>
              <w:t>4) АСУ КТПП УЭХК (АО «УЭХК»);</w:t>
            </w:r>
            <w:r w:rsidRPr="00A34822">
              <w:rPr>
                <w:rFonts w:ascii="Times New Roman" w:hAnsi="Times New Roman" w:cs="Times New Roman"/>
                <w:sz w:val="24"/>
              </w:rPr>
              <w:br/>
              <w:t>5) АСУ КТПП СХК (АО «СХК»);</w:t>
            </w:r>
            <w:r w:rsidRPr="00A34822">
              <w:rPr>
                <w:rFonts w:ascii="Times New Roman" w:hAnsi="Times New Roman" w:cs="Times New Roman"/>
                <w:sz w:val="24"/>
              </w:rPr>
              <w:br/>
              <w:t>6) АСУ КТПП ЭХЗ (АО «ПО «ЭХЗ»).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PDM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34822">
              <w:rPr>
                <w:rFonts w:ascii="Times New Roman" w:hAnsi="Times New Roman" w:cs="Times New Roman"/>
                <w:sz w:val="24"/>
              </w:rPr>
              <w:t>Абонентские пункты:</w:t>
            </w:r>
            <w:r w:rsidRPr="00A34822">
              <w:rPr>
                <w:rFonts w:ascii="Times New Roman" w:hAnsi="Times New Roman" w:cs="Times New Roman"/>
                <w:sz w:val="24"/>
              </w:rPr>
              <w:br/>
              <w:t>1) АО «ТВЭЛ»</w:t>
            </w:r>
            <w:r w:rsidRPr="00A34822">
              <w:rPr>
                <w:rFonts w:ascii="Times New Roman" w:hAnsi="Times New Roman" w:cs="Times New Roman"/>
                <w:sz w:val="24"/>
              </w:rPr>
              <w:br/>
              <w:t>2) АО «ОКБМ Африкантов»</w:t>
            </w:r>
            <w:r w:rsidRPr="00A34822">
              <w:rPr>
                <w:rFonts w:ascii="Times New Roman" w:hAnsi="Times New Roman" w:cs="Times New Roman"/>
                <w:sz w:val="24"/>
              </w:rPr>
              <w:br/>
              <w:t>3) АО «ВНИИНМ»</w:t>
            </w:r>
            <w:r w:rsidRPr="00A34822">
              <w:rPr>
                <w:rFonts w:ascii="Times New Roman" w:hAnsi="Times New Roman" w:cs="Times New Roman"/>
                <w:sz w:val="24"/>
              </w:rPr>
              <w:br/>
              <w:t>4) АО «МСЗ»</w:t>
            </w:r>
            <w:r w:rsidRPr="00A34822">
              <w:rPr>
                <w:rFonts w:ascii="Times New Roman" w:hAnsi="Times New Roman" w:cs="Times New Roman"/>
                <w:sz w:val="24"/>
              </w:rPr>
              <w:br/>
              <w:t>5) АО «ЧМЗ»</w:t>
            </w:r>
            <w:r w:rsidRPr="00A34822">
              <w:rPr>
                <w:rFonts w:ascii="Times New Roman" w:hAnsi="Times New Roman" w:cs="Times New Roman"/>
                <w:sz w:val="24"/>
              </w:rPr>
              <w:br/>
              <w:t>6) ПАО «НЗХК»</w:t>
            </w:r>
            <w:r w:rsidRPr="00A34822">
              <w:rPr>
                <w:rFonts w:ascii="Times New Roman" w:hAnsi="Times New Roman" w:cs="Times New Roman"/>
                <w:sz w:val="24"/>
              </w:rPr>
              <w:br/>
              <w:t>7) ООО «РусАТ»</w:t>
            </w:r>
            <w:r w:rsidRPr="00A34822">
              <w:rPr>
                <w:rFonts w:ascii="Times New Roman" w:hAnsi="Times New Roman" w:cs="Times New Roman"/>
                <w:sz w:val="24"/>
              </w:rPr>
              <w:br/>
              <w:t>8) АО «РусВэллГруп»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34822">
              <w:rPr>
                <w:rFonts w:ascii="Times New Roman" w:hAnsi="Times New Roman" w:cs="Times New Roman"/>
                <w:sz w:val="24"/>
              </w:rPr>
              <w:t>ИТ-система:</w:t>
            </w:r>
            <w:r w:rsidRPr="00A34822">
              <w:rPr>
                <w:rFonts w:ascii="Times New Roman" w:hAnsi="Times New Roman" w:cs="Times New Roman"/>
                <w:sz w:val="24"/>
              </w:rPr>
              <w:br/>
              <w:t xml:space="preserve">• Регламенты и инструкции администратора (электронные архивы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PDM</w:t>
            </w:r>
            <w:r w:rsidRPr="00A34822">
              <w:rPr>
                <w:rFonts w:ascii="Times New Roman" w:hAnsi="Times New Roman" w:cs="Times New Roman"/>
                <w:sz w:val="24"/>
              </w:rPr>
              <w:t xml:space="preserve"> ТК или АСУ КТПП предприятия);</w:t>
            </w:r>
            <w:r w:rsidRPr="00A34822">
              <w:rPr>
                <w:rFonts w:ascii="Times New Roman" w:hAnsi="Times New Roman" w:cs="Times New Roman"/>
                <w:sz w:val="24"/>
              </w:rPr>
              <w:br/>
              <w:t xml:space="preserve">• Регламенты и инструкции пользователя (электронные архивы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PDM</w:t>
            </w:r>
            <w:r w:rsidRPr="00A34822">
              <w:rPr>
                <w:rFonts w:ascii="Times New Roman" w:hAnsi="Times New Roman" w:cs="Times New Roman"/>
                <w:sz w:val="24"/>
              </w:rPr>
              <w:t xml:space="preserve"> ТК или АСУ КТПП предприятия).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6E047E"/>
    <w:rsid w:val="0072752F"/>
    <w:rsid w:val="00780B2F"/>
    <w:rsid w:val="00962DED"/>
    <w:rsid w:val="00993A3B"/>
    <w:rsid w:val="009F4BBA"/>
    <w:rsid w:val="009F4E92"/>
    <w:rsid w:val="00A3482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EF4316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2024-11-18T13:36:00Z</dcterms:created>
  <dcterms:modified xsi:type="dcterms:W3CDTF">2024-11-18T13:36:00Z</dcterms:modified>
</cp:coreProperties>
</file>