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0" w:type="auto"/>
        <w:tblInd w:w="-572" w:type="dxa"/>
        <w:tblLook w:val="04A0" w:firstRow="1" w:lastRow="0" w:firstColumn="1" w:lastColumn="0" w:noHBand="0" w:noVBand="1"/>
      </w:tblPr>
      <w:tblGrid>
        <w:gridCol w:w="2992"/>
        <w:gridCol w:w="3236"/>
        <w:gridCol w:w="238"/>
        <w:gridCol w:w="3451"/>
      </w:tblGrid>
      <w:tr w:rsidR="00F60002" w:rsidRPr="00C04D2B" w:rsidTr="00A830C1">
        <w:trPr>
          <w:trHeight w:val="983"/>
        </w:trPr>
        <w:tc>
          <w:tcPr>
            <w:tcW w:w="2992" w:type="dxa"/>
          </w:tcPr>
          <w:p w:rsidR="00FA6245" w:rsidRPr="00C04D2B" w:rsidRDefault="00FA6245" w:rsidP="00995DCA">
            <w:pPr>
              <w:spacing w:line="360" w:lineRule="auto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 w:rsidRPr="00C04D2B">
              <w:rPr>
                <w:rFonts w:ascii="Times New Roman" w:hAnsi="Times New Roman" w:cs="Times New Roman"/>
                <w:noProof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5582FF4D" wp14:editId="1D8910AB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7620</wp:posOffset>
                  </wp:positionV>
                  <wp:extent cx="1343025" cy="600075"/>
                  <wp:effectExtent l="0" t="0" r="0" b="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302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236" w:type="dxa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OPR.5 [Глазов]</w:t>
            </w:r>
          </w:p>
        </w:tc>
        <w:tc>
          <w:tcPr>
            <w:tcW w:w="3689" w:type="dxa"/>
            <w:gridSpan w:val="2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Поддержка функционирования систем резервного копирования данных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Описание услуги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Услуга обеспечивает поддержку функционирования и администрирования оборудования и специализированного программного обеспечения (ПО), входящие в состав систем резервного копирования (СРК) данных Заказчика.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Услуга обеспечивает поддержку работоспособности следующих системных сервисов Заказчика: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Обеспечение доступности и безопасности функционирования, осуществления контроля за конфигурацией, а также проведение регламентных работ оборудования СРК, обновление программного обеспечения оборудования  СРК.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Поддержка работоспособности ПО СРК. Обеспечение функционирования, мониторинг работоспособности СРК. Выполнение стандартных запросов (в том числе на внеплановое резервирование/ восстановление данных). Инсталляция, устранение сбоев в работе, регламентные работы с ПО.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Состав услуги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 Прием, обработка, регистрация и маршрутизация поступающих обращений от пользователей.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Восстановление работоспособности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Анализ и диагностика сбоев или неисправностей сервиса: принятие решение о предоставления услуги по «аварийному варианту» на существующей ИТ-инфраструктуре, если оценочное время восстановления услуги превышает время переключения на «аварийный вариант», нет средств для ремонта и т.п.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- Реализация восстановления сервиса, включая «аварийный вариант»: использование других единиц оборудования, переконфигурация на время восстановления отказавшей системы (при необходимости обеспечения непрерывности предоставления ИТ-услуги при аварийных ситуациях)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Детальный анализ и диагностика аппаратных/программных сбоев или неисправностей, связанных с некорректной работой СРК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- Взаимодействие с поставщиком технической поддержки/вендором оборудования/ПО (если приобретена поддержка или оборудование находится на гарантии): открытие сервисного случая, сбор и отправка логов/дампов, отправка и получение запчастей, выполнение предлагаемых действий/операций, контроль решения инцидентов в рамках предоставляемой ими ТП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Замена неисправной аппаратной компоненты СРК (полученной в рамках поддержки или закупленной Заказчиком) с последующим тестированием.  Подготовка сервисного листа на замену компоненты.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Закрытие «аварийного варианта» после восстановления работоспособности СРК, внесение изменения в документацию (по согласованию с Заказчиком, при необходимости)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Оказание консультаций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Оценка состояния оборудования и ПО СРК, подготовка рекомендаций по их приобретению, замене и выводу из эксплуатации, оптимизации использования (обеспечение жизненного цикла)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Подготовка документов по технической инвентаризации компонентов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Регламентные работы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Разработка и сопровождение плана/графиков плановопредупредительных работ (ППР), согласование их с Заказчиком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- Определение (корректировка) состава регламентных работ, актуализация временных затрат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на выполнение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Согласование времени проведения, оповещение о предстоящих регламентных работах (телефонограммой) (при необходимости)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Резервное копирование конфигураций оборудования СРК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Контроль сообщений системы мониторинга, анализ лог файлов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Визуальный осмотр оборудования, соединений интерфейсных и силовых кабелей, индикации оборудования.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Контроль работоспособности ПО резервного копирования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Мониторинг функционирования СРК в соответствии с утвержденным регламентом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Анализ состояния HARDWARE параметров СРК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Анализ наработки носителей информации, планирование их замены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Тестирование восстановлений резервных копий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Верификация резервных копий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Корректировка рабочей документации, внесение изменений в КЕ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Отключение СРК, разборка и чистка от пыли узлов и компонентов, визуальный контроль электронных компонентов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- Установка программных обновлений, Firmware, драйверов на СРК и ПО резервного копирования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Расширенное тестирование аппаратной платформы СРК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• Установка/демонтаж СРК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Проверка конфигурации на соответствие существующей проектной/рабочей документации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Установка дополнительных компонентов (Drive/PSU/Conroller/HDD/RAM/CPU) при необходимости доукомплектации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Установка/демонтаж СРК в шкаф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Подключение/отключение СРК к сетям электропитания, LAN, SAN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Тестирование оборудования на аппаратном уровне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Обновление версий Firmware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Внесение изменений в эксплуатационную документацию и конфигурационные единицы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Подключение к системе мониторинга оборудования Заказчика (при её наличии)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Работы по запросам на изменение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Замена узлов/компонентов СРК: изменение кол-ва стриммеров (drive), кол-ва модулей расширения, PSU, RAM, CPU, замена носителей, установка дополнительных контроллеров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Создание полигонов тестировании новых моделей/платформ СРК.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Диагностика и анализ массовых/типовых сбоев и неисправностей СРК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Разработка технических решений на ввод/вывод СРК, ПО резервного копирования в/из эксплуатации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Установка ПО резервного копирования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Настройка/конфигурирование ПО резервного копирования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Разработка регламентов резервного копирования, включение прикладной АС в регламент резервного копирования (по листу исполнения)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Восстановление данных из резервных копий (по листу исполнения)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- Внеплановый бэкап конфигурации оборудования/объекта АС по запросу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Восстановление файла на файл-сервере из теневой копии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Восстановление файла из резервной копии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Восстановление сообщения эл почты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Выполнение откатов к исходным конфигурациям оборудования/ПО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Показатели качества по услуге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2E6DC3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Максимальное время исполнения обращения, в зависимости от приоритета, раб. час.</w:t>
            </w:r>
            <w:r w:rsidRPr="00C04D2B">
              <w:rPr>
                <w:rStyle w:val="aa"/>
                <w:rFonts w:ascii="Times New Roman" w:hAnsi="Times New Roman" w:cs="Times New Roman"/>
                <w:bCs/>
                <w:noProof/>
                <w:sz w:val="24"/>
                <w:szCs w:val="24"/>
              </w:rPr>
              <w:footnoteReference w:id="1"/>
            </w:r>
          </w:p>
          <w:p w:rsidR="002E6DC3" w:rsidRPr="002E6DC3" w:rsidRDefault="002E6DC3" w:rsidP="00216DD4">
            <w:pPr>
              <w:pStyle w:val="a5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критичный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высокий</w:t>
            </w:r>
          </w:p>
        </w:tc>
        <w:tc>
          <w:tcPr>
            <w:tcW w:w="3451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стандартный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</w:t>
            </w:r>
            <w:r w:rsidR="002E6D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keepNext/>
              <w:numPr>
                <w:ilvl w:val="1"/>
                <w:numId w:val="2"/>
              </w:numPr>
              <w:tabs>
                <w:tab w:val="left" w:pos="567"/>
                <w:tab w:val="left" w:pos="851"/>
              </w:tabs>
              <w:spacing w:after="0" w:line="240" w:lineRule="auto"/>
              <w:outlineLvl w:val="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Время и место оказания у</w:t>
            </w:r>
            <w:r w:rsidR="00FA6245" w:rsidRPr="00C04D2B">
              <w:rPr>
                <w:rFonts w:ascii="Times New Roman" w:hAnsi="Times New Roman" w:cs="Times New Roman"/>
                <w:noProof/>
                <w:sz w:val="24"/>
                <w:szCs w:val="24"/>
              </w:rPr>
              <w:t>слуги</w:t>
            </w:r>
            <w:r w:rsidR="002E6DC3" w:rsidRPr="002E6DC3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по Договору, рабочие дни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в нерабочие и праздничные дни</w:t>
            </w:r>
          </w:p>
        </w:tc>
        <w:tc>
          <w:tcPr>
            <w:tcW w:w="3451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Место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слуги</w:t>
            </w:r>
            <w:r w:rsidR="002E6DC3" w:rsidRPr="00A830C1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Пн-Чт: 08:00 - 17:00; Пт: 08:00 - 16:00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Нет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Удаленно и по месту нахождения Заказчика; По месту нахождения Исполнителя</w:t>
            </w:r>
            <w:r w:rsidR="002E6DC3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Требования по оказанию услуги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Общие требования и ограничения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Исполнение инцидентов по сложным и не описанным инцидентам аппаратной части и ошибкам программного обеспечения: заявка передается производителю при наличии технической/сервисной поддержки. На время устранения ошибки производителем обращение переводится в статус «приостановлено».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Закрытие инцидента по сервису производится: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• после восстановления штатного режима работы оборудования;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• после диагностирования неисправности и идентификации компонента, требующего замены;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• в случае отсутствия у Заказчика действующего договора на поддержку оборудования у производителя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Максимальное отклонение по количеству СРК и ПО резервного копирования без изменения условий договора +/- 5%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До начала оказания услуги Заказчик должен ознакомить работника Исполнителя с локальными нормативными актами Организации, которые должны соблюдаться при проведении работ по услуге.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Выполнение требований ИБ и контроль соответствия требованиям ИБ находятся в зоне ответственности Заказчика или являются предметом отдельного договора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Заказчик перед началом оказания услуги обязательно должен предоставить Исполнителю: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• Копии договоров на обслуживание программного обеспечения и оборудования, контакты поставщиков услуг поддержки 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• Копии прав на использование ПО (лицензии)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• Доступ к необходимым для оказания услуги сегментам технологической сети и программному и аппаратному обеспечению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• Список элементов системы резервирования данных: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• Тип системы резервного копирования и восстановления: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• Сервера (Виртуальные/Физические):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• Ленточные библиотеки;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• Количество лицензий.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• Описание выполняемых функций.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• Место установки серверной части: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• Сетевое имя сервера;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• Виртуальный/физический;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• IP адрес;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• Название предприятия-заказчика;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• Адрес;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• Название помещения (номер кабинета).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• Проектную рабочую, эксплуатационную документацию на систему резервирования данных: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• Описание проектных решений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• Состав и местонахождение ЗИП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• Сертификаты, аттестаты соответствия, технические условия эксплуатации 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• Действующую эксплуатационную документацию, содержащую актуальную информацию на момент передачи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По запросу Исполнителя Заказчик перед началом оказания услуги должен предоставить Исполнителю: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Стандарты и политики, определяющие требования к системе резервирования данных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AC7C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Способ подключения к ИТ-системе. 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Определяется по месту оказания услуги</w:t>
            </w:r>
          </w:p>
        </w:tc>
      </w:tr>
    </w:tbl>
    <w:p w:rsidR="009F4E92" w:rsidRDefault="009F4E92"/>
    <w:sectPr w:rsidR="009F4E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0BD8" w:rsidRDefault="00F30BD8" w:rsidP="00FA6245">
      <w:pPr>
        <w:spacing w:after="0" w:line="240" w:lineRule="auto"/>
      </w:pPr>
      <w:r>
        <w:separator/>
      </w:r>
    </w:p>
  </w:endnote>
  <w:end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0BD8" w:rsidRDefault="00F30BD8" w:rsidP="00FA6245">
      <w:pPr>
        <w:spacing w:after="0" w:line="240" w:lineRule="auto"/>
      </w:pPr>
      <w:r>
        <w:separator/>
      </w:r>
    </w:p>
  </w:footnote>
  <w:foot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footnote>
  <w:footnote w:id="1">
    <w:p w:rsidR="00FA6245" w:rsidRPr="00DB6F6F" w:rsidRDefault="00FA6245" w:rsidP="00FA6245">
      <w:pPr>
        <w:pStyle w:val="a8"/>
      </w:pPr>
      <w:r>
        <w:rPr>
          <w:rStyle w:val="aa"/>
        </w:rPr>
        <w:footnoteRef/>
      </w:r>
      <w:r>
        <w:t xml:space="preserve"> За исключением Запросов на изменение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DC7648"/>
    <w:multiLevelType w:val="multilevel"/>
    <w:tmpl w:val="E274426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color w:val="auto"/>
        <w:sz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hint="default"/>
        <w:b w:val="0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Times New Roman" w:hAnsi="Times New Roman" w:hint="default"/>
        <w:b/>
        <w:sz w:val="24"/>
      </w:rPr>
    </w:lvl>
  </w:abstractNum>
  <w:abstractNum w:abstractNumId="1" w15:restartNumberingAfterBreak="0">
    <w:nsid w:val="34C6519C"/>
    <w:multiLevelType w:val="multilevel"/>
    <w:tmpl w:val="49B416CC"/>
    <w:lvl w:ilvl="0">
      <w:start w:val="1"/>
      <w:numFmt w:val="decimal"/>
      <w:pStyle w:val="a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 w:val="0"/>
      </w:rPr>
    </w:lvl>
    <w:lvl w:ilvl="2">
      <w:start w:val="1"/>
      <w:numFmt w:val="bullet"/>
      <w:lvlText w:val=""/>
      <w:lvlJc w:val="left"/>
      <w:pPr>
        <w:ind w:left="1571" w:hanging="720"/>
      </w:pPr>
      <w:rPr>
        <w:rFonts w:ascii="Symbol" w:hAnsi="Symbol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245"/>
    <w:rsid w:val="00113896"/>
    <w:rsid w:val="001972CA"/>
    <w:rsid w:val="00216DD4"/>
    <w:rsid w:val="00272600"/>
    <w:rsid w:val="002E6DC3"/>
    <w:rsid w:val="004C74CD"/>
    <w:rsid w:val="0059113D"/>
    <w:rsid w:val="005E5833"/>
    <w:rsid w:val="005F66DC"/>
    <w:rsid w:val="00616174"/>
    <w:rsid w:val="006D7F1C"/>
    <w:rsid w:val="0072752F"/>
    <w:rsid w:val="00780B2F"/>
    <w:rsid w:val="00962DED"/>
    <w:rsid w:val="00993A3B"/>
    <w:rsid w:val="009F4BBA"/>
    <w:rsid w:val="009F4E92"/>
    <w:rsid w:val="00A67A9D"/>
    <w:rsid w:val="00A830C1"/>
    <w:rsid w:val="00AA09CE"/>
    <w:rsid w:val="00AC3452"/>
    <w:rsid w:val="00AC7C0F"/>
    <w:rsid w:val="00B07CF3"/>
    <w:rsid w:val="00BA1147"/>
    <w:rsid w:val="00BA72DA"/>
    <w:rsid w:val="00C35630"/>
    <w:rsid w:val="00CA2001"/>
    <w:rsid w:val="00CE3A6F"/>
    <w:rsid w:val="00DB394B"/>
    <w:rsid w:val="00DC47C7"/>
    <w:rsid w:val="00E05B54"/>
    <w:rsid w:val="00E33797"/>
    <w:rsid w:val="00F30BD8"/>
    <w:rsid w:val="00F60002"/>
    <w:rsid w:val="00F83441"/>
    <w:rsid w:val="00FA6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F78AFB-285E-4E6D-9838-77385A060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FA6245"/>
    <w:pPr>
      <w:spacing w:after="200" w:line="276" w:lineRule="auto"/>
    </w:pPr>
  </w:style>
  <w:style w:type="paragraph" w:styleId="1">
    <w:name w:val="heading 1"/>
    <w:basedOn w:val="a0"/>
    <w:next w:val="a0"/>
    <w:link w:val="10"/>
    <w:uiPriority w:val="9"/>
    <w:qFormat/>
    <w:rsid w:val="00FA624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FA62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aliases w:val="Заголовок_3,Список - нумерованный абзац,Use Case List Paragraph,Абзац маркированнный,Paragraphe de liste1,lp1,Bullet List,FooterText,numbered,Table-Normal,RSHB_Table-Normal,Предусловия,1. Абзац списка,Нумерованный список_ФТ,Булет 1,Булит 1"/>
    <w:basedOn w:val="a0"/>
    <w:link w:val="a6"/>
    <w:uiPriority w:val="34"/>
    <w:qFormat/>
    <w:rsid w:val="00FA6245"/>
    <w:pPr>
      <w:ind w:left="720"/>
      <w:contextualSpacing/>
    </w:pPr>
  </w:style>
  <w:style w:type="character" w:customStyle="1" w:styleId="a6">
    <w:name w:val="Абзац списка Знак"/>
    <w:aliases w:val="Заголовок_3 Знак,Список - нумерованный абзац Знак,Use Case List Paragraph Знак,Абзац маркированнный Знак,Paragraphe de liste1 Знак,lp1 Знак,Bullet List Знак,FooterText Знак,numbered Знак,Table-Normal Знак,RSHB_Table-Normal Знак"/>
    <w:basedOn w:val="a1"/>
    <w:link w:val="a5"/>
    <w:uiPriority w:val="34"/>
    <w:locked/>
    <w:rsid w:val="00FA6245"/>
  </w:style>
  <w:style w:type="paragraph" w:customStyle="1" w:styleId="a">
    <w:name w:val="Мой заголовок"/>
    <w:basedOn w:val="1"/>
    <w:link w:val="a7"/>
    <w:qFormat/>
    <w:rsid w:val="00FA6245"/>
    <w:pPr>
      <w:numPr>
        <w:numId w:val="1"/>
      </w:numPr>
      <w:spacing w:before="120" w:line="360" w:lineRule="auto"/>
      <w:jc w:val="both"/>
    </w:pPr>
    <w:rPr>
      <w:rFonts w:ascii="Times New Roman" w:hAnsi="Times New Roman" w:cs="Times New Roman"/>
      <w:b/>
      <w:bCs/>
      <w:color w:val="000000" w:themeColor="text1"/>
      <w:sz w:val="24"/>
      <w:szCs w:val="24"/>
    </w:rPr>
  </w:style>
  <w:style w:type="character" w:customStyle="1" w:styleId="a7">
    <w:name w:val="Мой заголовок Знак"/>
    <w:basedOn w:val="10"/>
    <w:link w:val="a"/>
    <w:rsid w:val="00FA6245"/>
    <w:rPr>
      <w:rFonts w:ascii="Times New Roman" w:eastAsiaTheme="majorEastAsia" w:hAnsi="Times New Roman" w:cs="Times New Roman"/>
      <w:b/>
      <w:bCs/>
      <w:color w:val="000000" w:themeColor="text1"/>
      <w:sz w:val="24"/>
      <w:szCs w:val="24"/>
    </w:rPr>
  </w:style>
  <w:style w:type="paragraph" w:styleId="a8">
    <w:name w:val="footnote text"/>
    <w:basedOn w:val="a0"/>
    <w:link w:val="a9"/>
    <w:uiPriority w:val="99"/>
    <w:semiHidden/>
    <w:unhideWhenUsed/>
    <w:rsid w:val="00FA6245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1"/>
    <w:link w:val="a8"/>
    <w:uiPriority w:val="99"/>
    <w:semiHidden/>
    <w:rsid w:val="00FA6245"/>
    <w:rPr>
      <w:sz w:val="20"/>
      <w:szCs w:val="20"/>
    </w:rPr>
  </w:style>
  <w:style w:type="character" w:styleId="aa">
    <w:name w:val="footnote reference"/>
    <w:basedOn w:val="a1"/>
    <w:uiPriority w:val="99"/>
    <w:semiHidden/>
    <w:unhideWhenUsed/>
    <w:rsid w:val="00FA6245"/>
    <w:rPr>
      <w:vertAlign w:val="superscript"/>
    </w:rPr>
  </w:style>
  <w:style w:type="character" w:customStyle="1" w:styleId="10">
    <w:name w:val="Заголовок 1 Знак"/>
    <w:basedOn w:val="a1"/>
    <w:link w:val="1"/>
    <w:uiPriority w:val="9"/>
    <w:rsid w:val="00FA624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TML">
    <w:name w:val="HTML Preformatted"/>
    <w:basedOn w:val="a0"/>
    <w:link w:val="HTML0"/>
    <w:uiPriority w:val="99"/>
    <w:unhideWhenUsed/>
    <w:rsid w:val="00B07C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1"/>
    <w:link w:val="HTML"/>
    <w:uiPriority w:val="99"/>
    <w:rsid w:val="00B07CF3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30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1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8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37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1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44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8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14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7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06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76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3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76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5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80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49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5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72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1226</Words>
  <Characters>6989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Анурова Галина Сергеевна</dc:creator>
  <cp:keywords/>
  <dc:description/>
  <cp:lastModifiedBy>Шубина Дария Олеговна</cp:lastModifiedBy>
  <cp:revision>2</cp:revision>
  <dcterms:created xsi:type="dcterms:W3CDTF">2025-12-02T06:17:00Z</dcterms:created>
  <dcterms:modified xsi:type="dcterms:W3CDTF">2025-12-02T06:17:00Z</dcterms:modified>
</cp:coreProperties>
</file>