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F4B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4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предотвращения утечек конфиденциальной информации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-системы)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серверов и клиентов Системы обнаружения утечек конфиденциальной информации.Услуга осуществляется в соответствии с федеральными нормативными правовыми актами и локальными нормативными актами Госкорпорации «Росатом» в области защиты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Обработка, регистрация и маршрутизация поступающих обращений от пользователей.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Подключение вычислительной сети Заказчика к сенсорам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 Исполнителя.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Настройка сенсоров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-системы.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Поддержание актуальности лицензий сенсоров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Обеспечение работоспособности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-системы: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>4.1 В части мониторинга: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доступности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 и её компонентов;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корректности функционирования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-системы;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показателей нагрузки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-системы.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>4.2 В части технической поддержки: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выявление, обработка и устранение инцидентов работоспособности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-системы;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недочётов в функционировании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-системы, включая эскалацию проблемы в службу технической поддержки производителя;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обновлений программного обеспечения, входящего в состав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-системы;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проведение профилактического анализа состояния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-системы;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проведение плановых и внеплановых работ 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-системе, требуемых для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обеспечения её работоспособности.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>5. Администрирование системы: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 в случае изменений в конфигурации вычислительной сети Заказчика;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корректировка политик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-системы;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разработка, тестирование и применение новых политик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t>-системы;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агентов в рамках услуги (не более 10% в год от принятого на обслуживание состава системы;</w:t>
            </w:r>
            <w:r w:rsidRPr="00FF4B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Консультационная поддержка пользователей в части работы DLP-системы.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F4BF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4BFC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F4B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F4BF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1.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Услуга по подключению к сенсорам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 Исполнителя не может быть предоставлена, при отсутствии у Заказчика узла Корпоративной сети передачи данных.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В случае подключения вычислительной сети Заказчика к сенсорам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-системы Исполнителя для предоставления услуги Заказчику необходимо предоставить вычислительные ресурсы, расположенные на стороне Заказчика, а также обеспечить необходимую пропускную способность канала связи. 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Блокировка действий пользователей при использовании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-системы Исполнителя не производится. Обслуживание пользователей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 при блокировке не оказывается.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Анализ электронной почтовой корреспонденции, передаваемой с использованием защищенной корпоративной почтовой системы(ЗКПС), не производится. 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6. При использовании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-системы Исполнителя, набор лицензий, предоставляемый Заказчиком, не должен противоречить перечню лицензий используемой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-система Заказчика принимается на обслуживание после предоставления технического решения на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-систему и проведения технического обследования с анализом состояния.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8. В рамках оказания услуги не производится обслуживание операционной системы, функционирующей на серверах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-системы, устранение обнаруженных уязвимостей.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9. Лицензии и техническую поддержку необходимые для функционирования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-системы Заказчик приобретает самостоятельно. 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10. Работы по развёртыванию/модернизации инфраструктуры для работы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 являются предметом отдельного договора.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 Заказчик перед началом оказания услуги предоставляет Исполнителю: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11.1. Исключительный доступ с правами администратора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root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-правами) системы, в том числе удалённый, к необходимому для оказания услуги программному и аппаратному обеспечению.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11.2. Поименный список объектов составляющих систему (сервера безопаснсти, клиенты) с указанием их операционных систем, функциональных ролей, версий установленного ПО, передаваемого на поддержку.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11.3. Актуальное техническое решение, пояснительную записку описывающие состав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-системы, передаваемой на поддержку, её архитектуру, параметры настройки, возможности управления.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11.4. Информацию о представителе Заказчика в вопросах согласования заявок и изменений, касающихся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11.5. Ключ (сертификат) технической поддержки.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11.6. Информацию об ответственных за поддержку и устранение уязвимостей виртуальных машин, операционных систем, базы данных.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11.7. Информацию о способе и расписании резервного копирования.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11.8.   Предоставить группе безопасности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ALL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GU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ADMIN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доступ с правами администратора, в том числе удаленный, на Серверах системы и АРМ.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12. Стабильная работа не гарантируется, если сервера системы не удовлетворяют минимальным системным требованиям заявленным производителем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-Системы.</w:t>
            </w: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Ответственные лица Заказчика в обязательном порядке должны быть ознакомлены с Регламентом взаимодействия Сторон, являющимся неотъемлемой частью договора на оказание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F4BF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BFC">
              <w:rPr>
                <w:rFonts w:ascii="Times New Roman" w:hAnsi="Times New Roman" w:cs="Times New Roman"/>
                <w:bCs/>
                <w:sz w:val="24"/>
                <w:szCs w:val="24"/>
              </w:rPr>
              <w:t>Через подсистему управления инфраструктурными сервисами (ПУИС)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C494D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405E9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