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50F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0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наполнение веб-ресурсов в не рабочее время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F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информационное наполнение веб-ресурсов Госкорпорации «Росатом» в установленной период доступности, а также своевременную поддержку пользователей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50FF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F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 анонсов, информационных материалов в нерабочее время;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Контентное наполнение действующих разделов в нерабочее время;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Публикация изображений информационного содержания в нерабочее время.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50FF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18:00 - 09:00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0FF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50FF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50FF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FFF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C50F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50FF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FFF">
              <w:rPr>
                <w:rFonts w:ascii="Times New Roman" w:hAnsi="Times New Roman" w:cs="Times New Roman"/>
                <w:sz w:val="24"/>
                <w:szCs w:val="24"/>
              </w:rPr>
              <w:t>- Размещение анонсов, информационных материалов в нерабочее время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Контентное наполнение действующих разделов в нерабочее время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новых информационных разделов со стандартным функционалом в нерабочее время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Публикация изображений информационного содержания в нерабочее время</w:t>
            </w:r>
            <w:r w:rsidRPr="00C50FFF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и мониторинг целостности главных страниц, корректности материалов, ссылок и статей в нерабочее время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F549F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0FFF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