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CAD, PDM, CAPP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управления данными об изделиях и конструкторско-технологической подготовкой производства предприятий Топливной компании "ТВЭЛ" (далее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данной услуги к перечню программного обеспечения СИСТЕМЫ относятся: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ИНТЕРМЕХ (Search версии 15 и выше, IMProject версии 7 и выше, TECHCARD версии 10 и выше, Cadmech Inventor версии 10 и выше, AVS версии 6 и выше, IPS версии 5 и выше, ImBase, LCAD, IPS Web Portal);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Autodesk Product Design Suit версии 2015 и выше (Inventor, AutoCAD);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АСКОН Компас-3D версии 15 и выше.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Настройка, адаптация и расширения функциональности 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расширением функциональности СИСТЕМЫ, выполняемыми в рамках данной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ИТ-услуги в части доступности СИСТЕМЫ и функционирования подсистемы информационного взаимодействия между территориально-распределенными инсталляциями АСУ КТПП/PDM предприятий Топливной компании.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модификация 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модификация СИСТЕМЫ в части реализации нового функционала осуществляется в рамках отдельной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FTP-серверов либо других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Поддержка закрытых сегментов СИСТЕМЫ осуществляется в рамках отдельной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 целью периодической актуализации объемного показателя (количества пользователей СИСТЕМЫ) и стоимости данной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В случае изменения количества подключенных к СИСТЕМЕ пользователей (по итогам выполнения заявок Заказчика на подключение или отключение пользователей от СИСТЕМЫ) более чем на 10% от зафиксированного в договоре, Исполнитель инициирует подписание дополнительного соглашения к договору об изменении объемного показателя и стоимости данной ИТ-услуги.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e-mail, Корпоративный номер телефона, Расположение рабочего места.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Конструкторская подготовка производства;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Технологическая подготовка производства;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Управление локальным и распределенным документооборотом конструкторской и технологической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Архив электронной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Управление распределенной (общей для предприятий Топливной компании) инженерной НСИ (нормативно-справочной информацией);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6) Планирование конструкторско-технологических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7) Интеграция со смежными и корпоративными системами.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 (Система управления ресурсами предприятия для Топливного дивизиона)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Технологическая подготовка;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НСИ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КФНТД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администратора (сетевой информационный ресурс Заказчика)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пользователя (сетевой информационный ресурс Заказчика)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0BFD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2069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