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LBA.108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86D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86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вспомогательного программного обеспечения САПР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конвертеров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Tekla</w:t>
            </w:r>
            <w:r w:rsidRPr="00E86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АО «Атомэнергопроект»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функционирование разработанного вспомогательного программного обеспечения САПР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 и конвертеров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Tekla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 на стороне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Tekla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 (далее по тексту - вспомогательное ПО САПР и конвертеры),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86DF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обработка, регистрация и маршрутизация поступающих обращений по работе вспомогательного ПО САПР и конвертеров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Tekla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 от пользователей.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по работе вспомогательного ПО САПР и конвертеров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Tekla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поступающих обращений;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с вспомогательным ПО САПР и конвертеров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Tekla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реализованных разработок;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патчей, исправляющих ошибки в работе вспомогательного ПО САПР и конвертеров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Tekla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Актуализация эксплуатационной документации на вспомогательное ПО САПР и конвертеров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Tekla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 (опционально).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вспомогательного ПО САПР и конвертеров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86DF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86DF0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86DF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86DF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услуги выполняются работы только по устранению возникающих инцидентов и проблем согласно поступающим обращениям по вспомогательному ПО САПР и конвертеров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Tekla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состав вспомогательного ПО САПР входят следующие скрипты: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02_02_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_Назначение пределов огнестойкости, 04_02_01_Аудит атрибутов_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, 02_03_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_Параметры сведений о проекте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ENG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, 05_04_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_Экспорт, 02_09_Площадь стен под отделку, 02_10_Площадь откосов, 02_08_Площадь надпотолочного пространства, 02_10_Высота помещения, Расчет расходов материалов финишной отделки, Создание отделки. Код создания отделки помещений на основе ключевой спецификации помещений, Корректировка направления открывания дверей, Актуализация скрипта «Оформление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«Оформление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Автоматическое разъединение элементов (обратная булева операция), Формирование спецификаций отделки, Скрипт по формированию листов 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основании таблицы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EXCEL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Подбор типов дверей по типовым техническим требованиям (ТТТ), Назначение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KKS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помещениям (вариант 2), Заполнение параметров для экспорта (2 стадии), Передача модели (междисциплинарный обмен информационными моделями), Скрипт публикации модели для междисциплинарного взаимодействия, Аудит геометрии архитектурной части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BIM</w:t>
            </w: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 (3 стадии), Скрипт, размещающий проемы и необходимые семейства в местах пересечений строительных конструкций трубопроводами, Построение разверток в чертежных видах, Построение криволинейных разверток (не по радиусу), Заполнение параметров заполнений проёмов.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86DF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DF0">
              <w:rPr>
                <w:rFonts w:ascii="Times New Roman" w:hAnsi="Times New Roman" w:cs="Times New Roman"/>
                <w:bCs/>
                <w:sz w:val="24"/>
                <w:szCs w:val="24"/>
              </w:rPr>
              <w:t>«Клиент» на АРМ пользователя (требуется СКЗИ на АРМ / не требуется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Поддержка функционирования вспомогательного ПО САПР и конвертеров осуществляется в объеме: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Вспомогательное ПО САПР (скрипты и плагины для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Autodesk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Конвертер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86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Конвертер Tekla-XML-SP3D.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86DF0">
              <w:rPr>
                <w:rFonts w:ascii="Times New Roman" w:hAnsi="Times New Roman" w:cs="Times New Roman"/>
                <w:sz w:val="24"/>
              </w:rPr>
              <w:t xml:space="preserve">Путь: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E86DF0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cloud</w:t>
            </w:r>
            <w:r w:rsidRPr="00E86DF0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E86DF0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com</w:t>
            </w:r>
            <w:r w:rsidRPr="00E86DF0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nextcloud</w:t>
            </w:r>
            <w:r w:rsidRPr="00E86DF0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E86DF0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E86DF0">
              <w:rPr>
                <w:rFonts w:ascii="Times New Roman" w:hAnsi="Times New Roman" w:cs="Times New Roman"/>
                <w:sz w:val="24"/>
              </w:rPr>
              <w:t>4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oDJ</w:t>
            </w:r>
            <w:r w:rsidRPr="00E86DF0">
              <w:rPr>
                <w:rFonts w:ascii="Times New Roman" w:hAnsi="Times New Roman" w:cs="Times New Roman"/>
                <w:sz w:val="24"/>
              </w:rPr>
              <w:t>9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QKxQHbqF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A22B7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86DF0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