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C439F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"Сеть профессиональных сообществ"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F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информационной системы «Сеть профессиональных сообществ» в установленный период доступности, а также своевременная поддержка пользователей организаций.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39F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FB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рамках поступающих обращений;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Обработка пользовательских запросов, касающихся политики обработки персональных данных в ИТ-системе, а именно: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а) получение и учет запросов пользователей ИТ-системы;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б) подготовка и представление рекомендаций для Оператора персональных данных, обрабатываемых в ИТ-системе, в части предоставления ответа пользователю.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Используется инфраструктура ЗКО (защищенное корпоративное облако).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C439F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439F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C439F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39F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t>1.Для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Перечень персональных данных, обрабатываемых в рамках услуги: ФИО, дата рождения, должность, наименование работодателя, адрес электронной почты, информация о спорте и хобби, сведения о профессиональных навыках, компетенциях и знаниях.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439F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КСПД;</w:t>
            </w:r>
            <w:r w:rsidRPr="00C439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Другой способ: мобильное приложение.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9FB">
              <w:rPr>
                <w:rFonts w:ascii="Times New Roman" w:hAnsi="Times New Roman" w:cs="Times New Roman"/>
                <w:sz w:val="24"/>
                <w:szCs w:val="24"/>
              </w:rPr>
              <w:t xml:space="preserve">1. Профиль пользователя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2. Группы (сообщества)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Поиск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Задачи 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5. Опросы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6. Мероприятия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>7. Фабрика идей</w:t>
            </w:r>
            <w:r w:rsidRPr="00C439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База знаний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Соревновательная мотивация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Аналитические отчеты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39FB">
              <w:rPr>
                <w:rFonts w:ascii="Times New Roman" w:hAnsi="Times New Roman" w:cs="Times New Roman"/>
                <w:sz w:val="24"/>
              </w:rPr>
              <w:t>Экспертные навыки пользователя;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экспертных навыков;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Признак кандидата УКР;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Факт участия в отраслевой программе развития;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отраслевых программ развития;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других отраслевых программ развития.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439FB">
              <w:rPr>
                <w:rFonts w:ascii="Times New Roman" w:hAnsi="Times New Roman" w:cs="Times New Roman"/>
                <w:sz w:val="24"/>
              </w:rPr>
              <w:t>Данные профиля пользователя;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видов коммуникации;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разделов персонала;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образований;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институтов;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документов об образовании;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специальностей;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квалификаций;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наград;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групп наград;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Справочник видов отсутствий;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Данные организационной структуры;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Связи объектов организационной структуры;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  <w:t>Роли пользователя в ИС «Личный кабинет».</w:t>
            </w:r>
            <w:r w:rsidRPr="00C439FB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C642C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439FB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