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36F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управления ресурсами предприятия для дивизиона "АХД и сервисная инфраструктура"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F8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36F8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F85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исполнения.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36F8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636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36F8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t>В поле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Заказчика).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Перечень персональных данных, обрабатываемых в рамках услуги: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Данные работников: ФИО, гражданство, табельный номер, должность, наименование работодателя, адрес электронной почты, номер телефона, адрес места жительства, реквизиты банковских операций.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Данные третьих лиц: ФИО, ИНН, адрес места жительства, реквизиты банковских операций.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36F8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Исполнитель, заказчик: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требуется);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 / не требуется).</w:t>
            </w:r>
            <w:r w:rsidRPr="00636F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Администратор Системы подключается к ИТ-системе через ПУИС(Подсистема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 Данные реестра объектов НИ;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документам обременения;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реестра договоров по недвижимости;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предмету договора;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о поступлении и выбытии объектов НИ за отчетный период в разрезе видов объектов НИ;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площадям;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количеству объектов;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 Реестр ЗУ;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 Реестр федерального имущества;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аренде;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затратам на ОНИ;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дебиторской задолженности на конец года;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размещению персонала;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Сверка площадей по договорам и видам использования;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планированию сделок;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планированию документов;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Анализ использования ОНИ;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об активности пользователей;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Данные для отчета по планированию списания.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 Получение договоров на закупку;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Получение скан-образов первичных документов;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Согласование и исполнение договоров;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Хранение электронных копий документов, относящихся к объектам НИ.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-Выписка по вх./исх. платежам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бюджетирования Атомэнергопроект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 Передача платежных поручений;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 xml:space="preserve"> - Передача прогноза ликвидности;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 xml:space="preserve"> - Получение финансовых сделок;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 xml:space="preserve"> - Получение банковских выписок;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 xml:space="preserve"> - Получение котировок валют ЦБ РФ.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 Передача плановых и фактических данных по проектам.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 Получение ГПЗ;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Получение заключенных закупочных договоров;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Передача детализированной потребности.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-Организационная структура;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-Результат расчета заработной платы.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-документ на подписание квалифицированной усиленной электронной подписью;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-документ на шифрование;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-электронный документ;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-инициация ЮЗЭДО.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 Получение справочников «МТР», «Деловые партнеры», «Общероссийские классификаторы», «Банки», «Код проекта ИСУПП», «Контрагенты».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 ЕИП КИС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 Ведение договоров;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Учет затрат по объектам НИ;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Учет фактической выручки по объектам НИ;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Закрытие периода.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- Разработка и реализация решения по ведению справочника контрагентов;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Связка объектов недвижимого имущества и объектов основных средств;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Использование реестра объектов НИ для расчета земельного налога и налога на имущество;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 Совместное использование дополнительного программного обеспечения, разработанного в рамках КФШ для целей формирования формуляров документов по договорам сдачи в аренду объектов НИ;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- Совместное использование дополнительного программного обеспечения, разработанного в рамках КФШ для целей формирования отчетности по объектам ОС и объектам НИ.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6F85">
              <w:rPr>
                <w:rFonts w:ascii="Times New Roman" w:hAnsi="Times New Roman" w:cs="Times New Roman"/>
                <w:sz w:val="24"/>
              </w:rPr>
              <w:t>ИТ-система: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Путь: ИТ-система → рабочее место пользователя.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«Росатом»:</w:t>
            </w:r>
            <w:r w:rsidRPr="00636F85">
              <w:rPr>
                <w:rFonts w:ascii="Times New Roman" w:hAnsi="Times New Roman" w:cs="Times New Roman"/>
                <w:sz w:val="24"/>
              </w:rPr>
              <w:br/>
              <w:t>Путь:Раздел «Информационные технологии» → «Инструкции и обучающие материалы»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36F85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1306C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