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CBA.67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системы цифровой прослеживаемости материальных потоков с применением технологий маркировки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IT-услуги осуществляется комплекс услуг, позволяющий обеспечить стабильное функционирование информационной системы ЕОС «Прослеживаемость» во всех используемых бизнес-процессах и интеграцией с сиcтемой СУРП, в установленный период доступности, а также современную поддержку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– прием, обработка, регистрация и маршрутизация поступающих от пользователей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– консультации пользователей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– первичный анализ листов исполнения.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– диагностика и устранение возникающих проблем и инцидентов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– консультировании пользователей по работе в ИТ-системе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– настройка и расширение функциональности ИТ-системы в рамках поступающих обращений в случае, если данные действия не влекут за собой изменение логики реализованного бизнес-процесса;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–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– подготовка и тестирование обновлений ИТ-системы;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– поддержка и диагностика возникновения проблем в части пользовательского монитора интеграции в СУРП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– поддержка и устранение возникающих проблем при работе в целевых схемах в связке с ЮЗЭДО в части создания плановых и фактических документов.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–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–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– ведение полномочий в ИТ-системе в рамках разработанной концепции ролей и полномочий – предоставление, продление и прекращение прав доступа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– обновление программного обеспечения ИТ-системы в объеме реализованных функциональных направлений и бизнес-функций;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–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– обеспечение резервного копирования и восстановления баз данных в случае необходимости;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– предоставление прав доступа, присвоение соответствующих ролей в системе ведения учетных записей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– передача событий в КЦ ГосСОПКА;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– поддержка оборудования, рекомендованного к использованию в системе ЕОС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Прослеживаемость.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адаптация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каждого отдельно взятого Заказчика осуществляется поддержка того перечня бизнес-процессов/ сценариев, который был внедрен и введен в постоянную (промышленную)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Способ подключения Заказчика(Ярлык на Портале терминальных приложений), Исполнителя (через КСПД) и Администрирование (через ПУИС (подсистема управления инфраструктурными сервисами))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Складская логистика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Учет ТМЦ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Учет материалов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Учет ОС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1C: Цифровой Росатом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Складская логистика. Учет ТМЦ. Учет материалов. Учет ОС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СУРП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Складская логистика. Учет ТМЦ. Учет материалов. Учет ОС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СУРП КРЭА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Складская логистика. Учет ТМЦ. Учет материалов. Учет ОС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СУРП ГК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Складская логистика. Учет ТМЦ. Учет материалов. Учет ОС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СУРП ТК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Складская логистика. Учет ТМЦ. Учет материалов. Учет ОС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СУРП ТСЭ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Складская логистика. Учет ТМЦ. Учет материалов. Учет ОС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35630" w:rsidRDefault="005E5833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245" w:rsidRPr="00C35630">
              <w:rPr>
                <w:rFonts w:ascii="Times New Roman" w:hAnsi="Times New Roman" w:cs="Times New Roman"/>
                <w:sz w:val="24"/>
                <w:szCs w:val="24"/>
              </w:rPr>
              <w:t>Перечень ИС Заказчика, к которым необходим доступ для оказания услуги: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СУРП КРЭА, 1C: Цифровой Росатом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ИТ-система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Путь: S:\Проекты\D-1C1-2\09-Рабочие папки\28.Инструкции пользователей\Инструкции пользователей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Портал Госкорпорации «Росатом»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Путь: Портал ИТ\Инструкции\ЕОС-Прослеживаемость\Инструкции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90438"/>
    <w:rsid w:val="00DB394B"/>
    <w:rsid w:val="00DC47C7"/>
    <w:rsid w:val="00E01F43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4540</Characters>
  <Application>Microsoft Office Word</Application>
  <DocSecurity>0</DocSecurity>
  <Lines>129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2025-10-30T06:08:00Z</dcterms:created>
  <dcterms:modified xsi:type="dcterms:W3CDTF">2025-11-06T12:39:00Z</dcterms:modified>
</cp:coreProperties>
</file>