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LBA.71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Создание/участие в создании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проектных работ по созданию и развитию информационных систем Заказчика. В рамках предоставления услуги Исполнитель участвует в реализации проектов создания и развития информационных систем Заказчика в соответствии с планами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Функциональная поддержка.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-Выявление потребности Заказчика в создании или развитии ИС (прием и обработка заявок подразделений Заказчика на автоматизацию их деятельности);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-Инициирование проектов на автоматизацию деятельности подразделений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перечня проектов со сроками на год;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подготовке проектов, включая формирование рабочей группы проектов, в обеспечении технической инфраструктуры проектного офиса и учебных классов;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и/или согласование план-графиков работ по проектам;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рыночных ИТ-решений и формирование предложений по их использованию;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-Проведение ресурсного планирования;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-Планирование работ по обеспечению ИТ-инфраструктуры Заказчика под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и согласование организационных и регламентирующих документов проекта;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 согласование проектной документации (в рамках планов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-Участие в управлении проектами и координации реализации проектов;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работ по поэтапному внедрению и развитию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и/или участие в совещаниях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-Осуществление оперативного контроля реализации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отчетов по выполняемым работам;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архивов проектной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требований к знаниям и навыкам пользователей для допуска к работе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работах по подготовке и проведению опытной эксплуатации системы Заказчика, подготовке и вводу системы в промышленную эксплуатацию, выводу замещаемых исторических систем из промышленной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8:00 до 17:15 с понедельника по четверг, с 8:00 до 16:00 пятница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оказания услуги Исполнитель создает и обеспечивает у себя функционирование группы специалистов для решения следующих задач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развитие действующих локальных информационных систем Заказчика (далее - ИС) – развитие функционала системы, интеграция со смежными системами, тиражирование в подразделениях Заказчика, унификация используемого функционала;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обеспечение устойчивого функционирования ИС в условиях санкционных рисков со стороны иностранного производителя программного обеспечения (автономное сопровождение системы);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удержание, развитие и расширение числа технических специалистов в области создания и модернизации ИС для решения производственных задач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Объем трудозатрат в ПРМ согласовывается с Заказчиком при заключении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оказания услуги Исполнитель обеспечивает создание/внедрение/модификацию ИС Заказчика в части реализации запросов на изменение в объеме согласованных по договору трудозатрат.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рамках оказания услуги Исполнитель и Заказчик формируют планы работ с указанием состава работ и плановых трудозатрат.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Ежемесячно Исполнитель готовит Отчет (отчет или протокол передачи результатов работ), в котором отражает перечень выполненных работ и фактические трудозатраты.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 стороны Исполнителя Отчет согласовывает ответственное лицо по Договору, со стороны Заказчика – Руководитель ИТ подразделения.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Согласованный Сторонами Отчет является подтверждением оказания Услуги в отчетном периоде.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руководствуется планами и решениями, принятыми в рамках проектных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Определение срочности и приоритетности выполнения работ определяются в рабочем порядке в рамках рабочих групп проектов.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оказания услуги Исполнитель не обеспечивает: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 и регламентирующие порядок и условия оказания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Выписки из договоров на обслуживание производителем программного обеспечения и оборудования, содержащие информацию, необходимую и достаточную для проведения Исполнителем работ по ИТ-услуге, контакты службы поддержки производителя программного обеспечения и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Способ подключения пользователей Заказчика: Подключение к системам осуществляется с АРМ (толстый/тонкий клиент), находящихся в вычислительных сетях Заказчика.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Способ подключения сотрудников Исполнителя: Исполнитель подключается к ИТ-системе на объекте Заказчика.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A30F9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