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LBA.129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на платформе Directum RX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локальных информационных систем Заказчика, разработанных на платформе DirectumRX,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инцидентов в работе информационных систем,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Управлением доступом, управление учётными записями, управление ролями и полномочиями в информационных системах на основании согласованных запросов;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текущих настроек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непрерывности предоставления услуги и восстановление работоспособности информационных систем в случае сбоев в работе и недоступности;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регламентных работ, связанных с обслуживанием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доступности и работоспособности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информационных системах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программного обеспечения информационных систем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услуги обеспечивается поддержка функционирования локальных информационных систем Заказчика, разработанных на платформе DirectumRX и указанных в разделе «Перечень ИС заказчика, к которым необходим доступ для оказания услуги».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дата рождения, дата смерти, табельный номер, должность, наименование работодателя, адрес места жительства, паспортные данные, СНИЛС, сведения о негосударственной пенсии.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пользователей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информационным системам, программному обеспечению и базам данных в объеме, необходимом и достаточном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информационными системами;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информационных системах;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оказания Исполнителем Услуги,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Услуги по месту нахождения Заказчика: До начала оказания услуги Заказчик должен ознакомить работника Исполнителя с локальными нормативными актами Заказчика,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«Заявка на новое рабочее место сотрудника АО ЧМЗ»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«Визиты»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«ИПС «Архив-МС»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«ИПС «Архив-ОКСиР»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"Качество продукции"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"Объекты технического надзора"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ИСУ КСР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«Журнал регистрации и учета МНИ»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"Учет, контроль и планирование расходов на негосударственное пенсионное обеспечение"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«Учет закрытых радионуклидных источников»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"Учет НПО по софинансистам"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"Расчёт показателей оперативного премирования»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«Электронный архив подписанных протоколов испытаний цеха №08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F68E1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858CB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5012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2025-11-06T12:17:00Z</dcterms:modified>
</cp:coreProperties>
</file>